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NAGY</w:t>
            </w:r>
          </w:p>
          <w:p w:rsidR="00C275A3" w:rsidRDefault="00A96AEC" w:rsidP="00C275A3">
            <w:pPr>
              <w:pStyle w:val="Hallgatokepzes"/>
            </w:pPr>
            <w:r>
              <w:t>Ethnography</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Dániel Bárth</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József Faragó. Experiment to draw the life career of a transylvanian folklorist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my opinion when we talk about theory, sometimes we could easily forget that the creators of the great doctrines are humans just like the informants who the ethnographers talk to every day. Why should we think, when these people speak or write in the name of the theory, they don’t react with the experiences of themselves?</w:t>
      </w:r>
    </w:p>
    <w:p>
      <w:pPr>
        <w:widowControl w:val="on"/>
        <w:pBdr/>
        <w:spacing w:before="240" w:after="240" w:line="240" w:lineRule="auto"/>
        <w:ind w:left="0" w:right="0"/>
        <w:jc w:val="left"/>
      </w:pPr>
      <w:r>
        <w:rPr>
          <w:color w:val="000000"/>
          <w:sz w:val="24"/>
          <w:szCs w:val="24"/>
        </w:rPr>
        <w:t xml:space="preserve">The fact of my essay is the career of József Faragó, who was the main figure of the Transylvanian folkloristic in the second half of the 20th century. The judgement of his career and work of life are not unified, though he died 10 years ago in 2004. The published memoirs and summarys don’t give a hole picture of his life and works. My study had two goals: one of them to draw his career according the public datas. The second one is to bring to spotlight the relationship of Faragó and the socialist idology through his own papers.</w:t>
      </w:r>
    </w:p>
    <w:p>
      <w:pPr>
        <w:widowControl w:val="on"/>
        <w:pBdr/>
        <w:spacing w:before="240" w:after="240" w:line="240" w:lineRule="auto"/>
        <w:ind w:left="0" w:right="0"/>
        <w:jc w:val="left"/>
      </w:pPr>
      <w:r>
        <w:rPr>
          <w:color w:val="000000"/>
          <w:sz w:val="24"/>
          <w:szCs w:val="24"/>
        </w:rPr>
        <w:t xml:space="preserve">My sources were the published studies, articles and interviews, my further plans are to expand them with the sources of the personal memory (diaries, letters etc.) and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1535">
    <w:multiLevelType w:val="hybridMultilevel"/>
    <w:lvl w:ilvl="0" w:tplc="54656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1535">
    <w:abstractNumId w:val="62111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838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