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RITA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Deáky Zita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Tokaj-hegyaljai sváb község, Hercegkút házassági stratégiái a második világháborútól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Rohamosan változó, globalizált világunkban az egyes közösségek számára egyre nehezebb megőrizni a régiektől átörökölt értékeik, mert egyre távolabbi az a történelmi idő, amelyben ezek születtek.</w:t>
      </w:r>
      <w:r>
        <w:rPr>
          <w:color w:val="000000"/>
          <w:sz w:val="24"/>
          <w:szCs w:val="24"/>
        </w:rPr>
        <w:br/>
        <w:t xml:space="preserve">Dolgozatom egy 18. században Németországból betelepített sváb, római katolikus telepesek által létrehozott falu, Hercegkút, társadalmát vizsgálja, hogy a 20. század második felében bekövetkezett változások, hogyan hatottak a párválasztást meghatározó íratlan szabályokra.</w:t>
      </w:r>
      <w:r>
        <w:rPr>
          <w:color w:val="000000"/>
          <w:sz w:val="24"/>
          <w:szCs w:val="24"/>
        </w:rPr>
        <w:br/>
        <w:t xml:space="preserve">Kutatásom során négy megközelítés szerint vizsgáltam Hercegkút házassági stratégiáit, a lokális endogámia, felekezeti endogámia, nemzetiségi endogámia és a rétegen belüli és foglalkozási endogámia szempontjából.</w:t>
      </w:r>
      <w:r>
        <w:rPr>
          <w:color w:val="000000"/>
          <w:sz w:val="24"/>
          <w:szCs w:val="24"/>
        </w:rPr>
        <w:br/>
        <w:t xml:space="preserve">A négy megközelítés nem véletlen, hiszen a mindenkori hercegkútiaknak nem csak a párválasztását, de egész mentalitását meghatározta az, hogy ők svábok és római katolikusok egy olyan földrajzi térségben, ahol sokáig a református, magyar többség volt a jellemző.</w:t>
      </w:r>
      <w:r>
        <w:rPr>
          <w:color w:val="000000"/>
          <w:sz w:val="24"/>
          <w:szCs w:val="24"/>
        </w:rPr>
        <w:br/>
        <w:t xml:space="preserve">A másság érzése, olyan mértékű elzárkózáshoz vezetett, hogy nagyon sokáig csak egymás között házasodtak, a társadalmi törvények nem engedték a más falubelivel, a más felekezetű, más nemzetiségűvel való házasodást.</w:t>
      </w:r>
      <w:r>
        <w:rPr>
          <w:color w:val="000000"/>
          <w:sz w:val="24"/>
          <w:szCs w:val="24"/>
        </w:rPr>
        <w:br/>
        <w:t xml:space="preserve">Ezt a zárkózottságot a 20. század történései, főleg az 1945-ös elhurcolás és azután következő etnikai, vallási megnyilvánulást tiltó törvények megtörték. Ebben a nyílttá válási folyamatban közrejátszott a kollektivizálást követő fiatalok tömeges beáramlása is a nagyvárosokba, akik már falun kívülről választottak párt maguknak.</w:t>
      </w:r>
      <w:r>
        <w:rPr>
          <w:color w:val="000000"/>
          <w:sz w:val="24"/>
          <w:szCs w:val="24"/>
        </w:rPr>
        <w:br/>
        <w:t xml:space="preserve">Dolgozatomban arra keresem a választ, hogy az endogámiát szabályzó normák koronként milyen változáson mentek keresztül és ezek a változások, hogyan tükröződnek a házassági anyakönyvek alapján készített diagramokon. Illetve, hogy ezen íratlan törvényeket kik őrzik még, milyen formában és még van-e érvényük a 21. században Hercegkút fiataljai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63164">
    <w:multiLevelType w:val="hybridMultilevel"/>
    <w:lvl w:ilvl="0" w:tplc="66149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63164">
    <w:abstractNumId w:val="32263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085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