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GÁSPÁR SALAMON</w:t>
            </w:r>
          </w:p>
          <w:p w:rsidR="00C275A3" w:rsidRDefault="00A96AEC" w:rsidP="00C275A3">
            <w:pPr>
              <w:pStyle w:val="Hallgatokepzes"/>
            </w:pPr>
            <w:r>
              <w:t>Art History</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Leslie Edwards</w:t>
            </w:r>
          </w:p>
          <w:p w:rsidR="00DB4822" w:rsidRDefault="00DB4822" w:rsidP="009763E0">
            <w:pPr>
              <w:pStyle w:val="Konzulensektitulus"/>
            </w:pPr>
            <w:r w:rsidRPr="00DB4822">
              <w:t>Head Archivist,  Cranbrook Center for Collections and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'Lieber Eli!' The Friendship and Professional Relationship of Géza Maróti and Eliel Saarinen – with Special Regard to the U. S. Period (1927–1932)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contribution is dealing with the friendship and professional relationship between Géza Maróti and Eliel Saarinen. The two artist got to know each other in Hvitträsk in 1907 and became friend for more than thirty years. Saarinen after winning a 2nd prize at the competition of the Chicago Tribune Building settled down in the United States. Saarinen invited Maróti to Michigan that let the Hungarian sculptor to design several artworks in Bloomfield Hills and Detroit. Through their correspondence and other secondary sources the details and circumstances of Maróti's American "carrier" is revealed.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08505">
    <w:multiLevelType w:val="hybridMultilevel"/>
    <w:lvl w:ilvl="0" w:tplc="36440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08505">
    <w:abstractNumId w:val="31908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646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