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DOROTTYA TÜCSÖK</w:t>
            </w:r>
          </w:p>
          <w:p w:rsidR="00C275A3" w:rsidRDefault="00A96AEC" w:rsidP="00C275A3">
            <w:pPr>
              <w:pStyle w:val="Hallgatokepzes"/>
            </w:pPr>
            <w:r>
              <w:t>Applied Linguistics</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Csilla Bartha</w:t>
            </w:r>
          </w:p>
          <w:p w:rsidR="00DB4822" w:rsidRDefault="00DB4822" w:rsidP="00E11062">
            <w:pPr>
              <w:pStyle w:val="Konzulensek"/>
            </w:pPr>
            <w:r w:rsidRPr="00DB4822">
              <w:t>  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Linguistic Analysis of Drug-using Communities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problem of drug use in Hungary today is a relevant and current research topic. Not only research area of psychology, medicine and law but it is also part of the applied linguistics investigations. In my thesis, in the spirit of socially useful linguistics, I investigated the linguistic and social relations of drug user communities based on a corpus of data collected by me. The whole research is based on a sociolinguistic perspective. I made empirical investigations and I successfully integrated into the small community as well.</w:t>
      </w:r>
      <w:r>
        <w:rPr>
          <w:color w:val="000000"/>
          <w:sz w:val="24"/>
          <w:szCs w:val="24"/>
        </w:rPr>
        <w:br/>
        <w:t xml:space="preserve">The main goal of my research is to describe the linguistic features of drug users, then to compare them with the linguistic features of drug prevention and rehabilitation. I would like the results to be used in practice as well. This study is the first step in this process.</w:t>
      </w:r>
      <w:r>
        <w:rPr>
          <w:color w:val="000000"/>
          <w:sz w:val="24"/>
          <w:szCs w:val="24"/>
        </w:rPr>
        <w:br/>
        <w:t xml:space="preserve">Based on the results, it can be stated that the drug-using communities cannot be considered as a lawyer, but we need to examine the smaller groups separately. These communities are organized by different conventions, thus, their language use is unique and partly different. Based on the attitude investigation, a kind of a dual attitude and self-determination can be identified. During the discourses it is frequent to “not-to-name” and the application of the imagery device. The framing, the illegal act and the talk about it is strongly regulates the discourse.</w:t>
      </w:r>
      <w:r>
        <w:rPr>
          <w:color w:val="000000"/>
          <w:sz w:val="24"/>
          <w:szCs w:val="24"/>
        </w:rPr>
        <w:br/>
        <w:t xml:space="preserve">The opinion of the prevention is negative since it violates the basic communication requirements and is manipulative, according to the informants. It would be worthwhile to develop a new prevention strategy. To be able to accomplish this, it is necessarily to continue this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325214">
    <w:multiLevelType w:val="hybridMultilevel"/>
    <w:lvl w:ilvl="0" w:tplc="460788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325214">
    <w:abstractNumId w:val="643252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66697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