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HORVÁTH</w:t>
            </w:r>
          </w:p>
          <w:p w:rsidR="00C275A3" w:rsidRDefault="00A96AEC" w:rsidP="00C275A3">
            <w:pPr>
              <w:pStyle w:val="Hallgatokepzes"/>
            </w:pPr>
            <w:r>
              <w:t>teacher of hungarian language and literature and latin</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Csanád Bodó</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Inside and outside the "Canaanian language" - Research of two Calvinist communities' languages.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I examine the language of two Calvinist prayer communities. My aim was to map and compare the communities’ language with participating observation. In my research, these communities are regarded as communities of practice. The two communities have the same practices: singing, praying, preaching, chatting about the preaching, praying again, and eating and drinking together. Thus, in spite of the differences between the communities (e.g. the age of the members) they are comparable. The examined communities’ languages are highly different. One of them uses a formal language, with lots of words and phrases from the so-called “Canaanian language”(a manner of language which belongs to Christians), and in the prayers’ language we can found archaic and rarely used words and forms. The other community uses an informal language and slang, and nearly nothing from the “Canaanian language”. Here, I make a comparison between the measures of using the “Canaanian language” and the openness of the communities as well as the members’ thoughts about the relation of Christian and not Christian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16220">
    <w:multiLevelType w:val="hybridMultilevel"/>
    <w:lvl w:ilvl="0" w:tplc="98539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16220">
    <w:abstractNumId w:val="364162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9748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