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ASZTALOS</w:t>
            </w:r>
          </w:p>
          <w:p w:rsidR="00C275A3" w:rsidRDefault="00A96AEC" w:rsidP="00C275A3">
            <w:pPr>
              <w:pStyle w:val="Hallgatokepzes"/>
            </w:pPr>
            <w:r>
              <w:t>teacher of Hungarian language and literature teacher of speech and language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Bona</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Memory and comprehension among secondary school and university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Understanding, evocation and recalling of various texts is of great importance in different situations of everyday life, especially in the learning-teaching process. The purpose of the research is to explore and compare in what way secondary school and university students’ recall the same text, which is realized by the some characteristic features. The study attempts to explore text comprehension, interpretation and learning of possible ways between the two age groups exploring memory processes.</w:t>
      </w:r>
      <w:r>
        <w:rPr>
          <w:color w:val="000000"/>
          <w:sz w:val="24"/>
          <w:szCs w:val="24"/>
        </w:rPr>
        <w:br/>
        <w:t xml:space="preserve">48 people took part in the research. Among them, 27 students were involved in university education (average age 22 years) and 21 secondary school students (average age 16 years). The experiment in both age-groups was carried out in lessons, to ensure anonymity. After handing out the text, the students were requested to read the text carefully. Then the handouts with the story were collected and the participants were asked to write down the story as accurately as possible. After 30 minutes, they were requested again to recall the read text. So two text versions had been written per person: one was generated directly after the reading, the other later. The text versions were coded and analysed according to the following criteria: 1. the length of the texts; 2. the number of events that appear in the text; 3. the title of the text; 4. recalling of the proper nouns.; 5. appearance of incorrect conclusions; 6. the schematic appearance of a selected item sentence.</w:t>
      </w:r>
      <w:r>
        <w:rPr>
          <w:color w:val="000000"/>
          <w:sz w:val="24"/>
          <w:szCs w:val="24"/>
        </w:rPr>
        <w:br/>
        <w:t xml:space="preserve">My previous hypotheses were confirmed: 1. the recollection of secondary school students was more inaccurate than that of the university students’; 2 university students evoked the text more faithfully. Nevertheless causal relationships in the quoted texts in both age groups were not organized according to the original text.</w:t>
      </w:r>
      <w:r>
        <w:rPr>
          <w:color w:val="000000"/>
          <w:sz w:val="24"/>
          <w:szCs w:val="24"/>
        </w:rPr>
        <w:br/>
        <w:t xml:space="preserve">The research can provide new pieces of information on whether the text remains in our memories and in what way they are to be remembered on the basis of schemes, interconnections, causalities. Indeed, these are the patterns that help us understand our texts and recall them. It would be helpful if secondary school students read more texts which are unfamiliar to European culture, or at least unconventional. This develops not only their reading strategies and comprehension competencies but also the recalling of texts would be more accurate. This is an essential prerequisite for the effective learning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99003">
    <w:multiLevelType w:val="hybridMultilevel"/>
    <w:lvl w:ilvl="0" w:tplc="24248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99003">
    <w:abstractNumId w:val="49299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89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