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JANKOVICS</w:t>
            </w:r>
          </w:p>
          <w:p w:rsidR="00C275A3" w:rsidRDefault="00A96AEC" w:rsidP="00C275A3">
            <w:pPr>
              <w:pStyle w:val="Hallgatokepzes"/>
            </w:pPr>
            <w:r>
              <w:t>teacher of Hungarian language and literature, teacher of speech and language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Alexandra Markó</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of speech fluency in stuttering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present study analyses some of the factors which have an effect on the fluency of a stutterer’s speech in different discourse types. The subject of the study is a 19-year-old, Hungarian-speaking, monolingual male, with typical hearing and normal IQ, who have stuttered since his early childhood (2 years of age).</w:t>
      </w:r>
      <w:r>
        <w:rPr>
          <w:color w:val="000000"/>
          <w:sz w:val="24"/>
          <w:szCs w:val="24"/>
        </w:rPr>
        <w:br/>
        <w:t xml:space="preserve">The analyzed material consisted of spontaneous narrative, conversation, recall, sentence repetition, reading aloud, sung and spoken versions of songs, and tongue-twisters. In these texts the frequency of filled pauses, word repetitions and part-word repetitions as well as the stutterer’s speech rate were defined. The main question of the study is whether the discourse type has an effect on stuttering, and if yes, which are the easiest and the most difficult speech tasks for the stutterer. The hypothesizes are as follows: 1. The frequency of the analyzed disfluency phenomena is the largest in the case of tongue-twisters. 2. During singing any type of disfluency phenomena can be detected. 3. The subject’s speech rate is equal to a speech rate of a healthy, slow-speaking man in average.</w:t>
      </w:r>
      <w:r>
        <w:rPr>
          <w:color w:val="000000"/>
          <w:sz w:val="24"/>
          <w:szCs w:val="24"/>
        </w:rPr>
        <w:br/>
        <w:t xml:space="preserve">Based on the results of this study it can be declared that the highest number of disfluencies can be experienced in tongue-twisters and spontaneous narrative, however only a few of them occur in the sung versions of the songs. The results suggest that the rate of disfluencies is influenced by the discourse type in stuttering, as well as the familiarity with the text, the level of practice and the rhythm and melody (in singing).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12568">
    <w:multiLevelType w:val="hybridMultilevel"/>
    <w:lvl w:ilvl="0" w:tplc="19777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12568">
    <w:abstractNumId w:val="52312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238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