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KÖVESDI LILLA</w:t>
            </w:r>
          </w:p>
          <w:p w:rsidR="00C275A3" w:rsidRDefault="00A96AEC" w:rsidP="00C275A3">
            <w:pPr>
              <w:pStyle w:val="Hallgatokepzes"/>
            </w:pPr>
            <w:r>
              <w:t>Finnugrisztika 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Bereczki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Etnofuturizmus, a finnugor áramlat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etnofuturizmus az 1980-as évek végén született Észtországban. Ez az áramlat elsőként az irodalomban jelentkezett, később azonban a képzőművészetben, zenében és a színházban is megjelent. Az áramlat megteremtői a kis létszámú, Oroszországban élő finnugor népekhez is eljuttatták az etnofuturizmus eszméit.</w:t>
      </w:r>
      <w:r>
        <w:rPr>
          <w:color w:val="000000"/>
          <w:sz w:val="24"/>
          <w:szCs w:val="24"/>
        </w:rPr>
        <w:br/>
        <w:t xml:space="preserve">Dolgozatom célja az etnofuturizmus fogalmának körbejárása, az áramlat fő jellemzőinek bemutatása. Emellett arra a kérdésre próbálok meg választ adni, hogy hogyan történik a népi kultúra archaikus elemeinek újraértelmezése és újrahasznosítása az etnofuturizmus által nyújtott kereteken belül.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65191">
    <w:multiLevelType w:val="hybridMultilevel"/>
    <w:lvl w:ilvl="0" w:tplc="76027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65191">
    <w:abstractNumId w:val="734651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059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