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JANKA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Krász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lélek betegségeinek reprezentációi a magyar nyelvű orvosi irodalomban, 1770-1820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magyar nyelvű orvosi irodalom két típusát, az akadémikus orvosdoktorok által írott, illetve fordított, művelt közönségnek szóló írásműveket és a köznépnek szóló felvilágosító munkákat vizsgáljuk az 1770 és 1820 közötti időszakra nézve, a lélek és elme betegségeinek fókuszba állításával. A 18. századot a lélek egészséges és beteg állapotait, helyét, szerepét és testre gyakorolt befolyását magyarázó koncepciók és megközelítések korábban nem jellemző eklekticizmusa és ellentmondásossága jellemezte; az egymással gyakran versengő, egymást felülírni igyekvő megközelítések közül kiemelkedik a mechanikus szemlélet, az animizmus és a vitalizmus. E koncepciók magyarországi recepcióját a tudományos munkák vizsgálata nyomán kíséreljük meg rekonstruálni a lélek betegségeivel kapcsolatban felmerülő főbb fogalmak vizsgálata mentén, hangsúlyt fektetve a test és lélek kapcsolatának kérdésére, az életerő problematikájára, a különböző definíciókra (a lélek és a „lélektudomány” meghatározása), illetve az egymással szoros összefüggésben tárgyalt betegség-fogalmakra (melankólia, hipochondria, hisztéria, mánia). A tartalmukat és nyelvi regiszterüket tekintve is jelentősen leegyszerűsített, a köznépnek szóló felvilágosító munkák vizsgálata nyomán pedig annak vizsgálatára teszünk kísérletet, hogy a címben jelzett tematikával kapcsolatos, Nyugat-Európa meghatározó képzési centrumaiból érkező tudáselemek milyen kommunikációs csatornákon, milyen interpretációkban és reprezentációkban, kikhez jutottak el és milyen „szűrési” vagy redukciós stratégiák mentén adaptálódtak a szélesebb közönség számára.</w:t>
      </w:r>
      <w:r>
        <w:rPr>
          <w:color w:val="000000"/>
          <w:sz w:val="24"/>
          <w:szCs w:val="24"/>
        </w:rPr>
        <w:br/>
        <w:t xml:space="preserve">Pragmatikai szempontból a nyomtatásban kiadott magyar nyelvű orvosi felvilágosító irodalomnak a recepciótörténet szempontjából azt a meghatározó aspektusát vizsgáljuk, amelyeket „szándékolt üzenetekként” vagy „bennefoglalt olvasatokként” írhatunk körül. Ezeknek az olvasatoknak jó része, feltételezve, hogy a fordítók vagy fordító-szerzők figyelembe vették a megcélzott olvasóközönség igényeit és elvárásait, beleíródtak az adott kiadvány szövegébe, szerkezeti és/vagy paratextuális vonásaiba, illetve a kiadás mindenkori társadalmi, kulturális, történeti kontextusába. Mindez lehetővé teszi témánk eszme-, tudomány-, információ-, és kommunikációtörténeti vonatkozásainak megjelenítését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81414">
    <w:multiLevelType w:val="hybridMultilevel"/>
    <w:lvl w:ilvl="0" w:tplc="64262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81414">
    <w:abstractNumId w:val="43881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433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