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MOLNÁR</w:t>
            </w:r>
          </w:p>
          <w:p w:rsidR="00C275A3" w:rsidRDefault="00A96AEC" w:rsidP="00C275A3">
            <w:pPr>
              <w:pStyle w:val="Hallgatokepzes"/>
            </w:pPr>
            <w:r>
              <w:t>Early modern history MA</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Horn</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Losonczy and Aldnana - Clash of military conceptions in the XVIth century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events of the years of 1551 and 1552 are well documented and examined, but there are some questions and aspects, however, which are still not researched. About the events of this two years, a popular opinion that the fortresses defended by foreign mercenaries put out a lesser resistance and felt to the ottomans easier. There is also many opinion about that between Hungarian and foreign soldiers were numerous conflicts, mostly because the foreigner’s mistakes. A good example for the latest is the conflict of István Lossonczy, Comes of Temes and commander of Temesvár castle, and Bernardo Villela de Aldana, a Spanish tercio-commander. Their conflicts were written as the consequence of Aldana’s ambitions and his treacherous character. However, in my work, I will try to show another aspect; beside their character, it happened because of their different thinking about war and military. With recent literature and archive sources, I will show the other sides of the conflict. I hope that if we understand their relationship, may make us able to show the differences and the conflict-sources between Hungarian soldiers and foreign mercenaries.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79458">
    <w:multiLevelType w:val="hybridMultilevel"/>
    <w:lvl w:ilvl="0" w:tplc="23997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79458">
    <w:abstractNumId w:val="50879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452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