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PÁSZTOR</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Várkonyi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Musical court. Court music in Hungary from the 16th century until the first decade of the 18th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history of the Hungarian court music has many details and sources from the 18th century. Scholars usually date its beginning from the court of Pal Esterhazy (1635-1713) in Kismarton or from the time period when Joseph Haydn (1732-1809) worked for the Esterhazy family. This essay is going to explore that what kind of court music culture existed in Hungary before Pal Esterhazy.</w:t>
      </w:r>
      <w:r>
        <w:rPr>
          <w:color w:val="000000"/>
          <w:sz w:val="24"/>
          <w:szCs w:val="24"/>
        </w:rPr>
        <w:br/>
        <w:t xml:space="preserve">As a focal point of this essay the personal and objective characteristics of musical culture are going to be studied. This era has relatively many sources that help research; diaries, personal letters, but most importantly inventories, assets of baronial families. There is a possibility that these inventories have instruments as well. Another question appears at this point; if a baronial family owned these instruments, but the musician decided to serve another family, could he continue using these instruments, or did the new employer covered them for him? Did the musician have his own instruments? If a baronial family owned any instruments, were the family members musicians as well?</w:t>
      </w:r>
      <w:r>
        <w:rPr>
          <w:color w:val="000000"/>
          <w:sz w:val="24"/>
          <w:szCs w:val="24"/>
        </w:rPr>
        <w:br/>
        <w:t xml:space="preserve">As for the literature and investigation of the topic one can say that court music is well processed and explorable from the beginning of the 18th century. In the case of a few rulers, baronial and noble families from the 16th and 17th centuries scholars have satisfactory documentation. Most of the rulers and significant baronial families – even if scholars have a good amount of sources of them – are still waiting to be studied.</w:t>
      </w:r>
      <w:r>
        <w:rPr>
          <w:color w:val="000000"/>
          <w:sz w:val="24"/>
          <w:szCs w:val="24"/>
        </w:rPr>
        <w:br/>
        <w:t xml:space="preserve">According to the essay there is no doubt that residential music had an important role in the development of the Hungarian musical culture. Because of the baronial centers of musical life musical culture closed up to the European standard in this era (16th – 17th centuries). It would not be possible without the aristocracy that wanted to maintain its relations with foreign countries, and they could, even if their possibilities were limited.</w:t>
      </w:r>
      <w:r>
        <w:rPr>
          <w:color w:val="000000"/>
          <w:sz w:val="24"/>
          <w:szCs w:val="24"/>
        </w:rPr>
        <w:br/>
        <w:t xml:space="preserve">After all the research I did in this field my opinion is that the exploration of court music has to have a part that studies it from the aspect of culture history. In this study I am going to emphasise the appearing forms of court music; how rulers, lords and the nobility studied and played instruments; the question of hiring and paying foreign musicians; the rank and the role in the society of a musician; the function of music; studying residential music culture of the noble and baronial families.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80732">
    <w:multiLevelType w:val="hybridMultilevel"/>
    <w:lvl w:ilvl="0" w:tplc="39323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80732">
    <w:abstractNumId w:val="95580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029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