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KOVACS</w:t>
            </w:r>
          </w:p>
          <w:p w:rsidR="00C275A3" w:rsidRDefault="00A96AEC" w:rsidP="00C275A3">
            <w:pPr>
              <w:pStyle w:val="Hallgatokepzes"/>
            </w:pPr>
            <w:r>
              <w:t>history</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Varkonyi phd</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Court of Ecsed. Clients and relations in the family of István Báthory.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Ecsedi Báthory István is a very well-known, but rarely researched figure in Hungarian historiography. He was the last descendant of Báthory family’s Ecsedi branch, he was the son of the notorious Erzsébet Báthory and from 1601 until his death he became the stepfather of Somlyai Báthory Gábor and his sister, Anna.</w:t>
      </w:r>
      <w:r>
        <w:rPr>
          <w:color w:val="000000"/>
          <w:sz w:val="24"/>
          <w:szCs w:val="24"/>
        </w:rPr>
        <w:br/>
        <w:t xml:space="preserve">Báthory’s historical importance is also proven by the fact that he was one of the most influential and richest patrons of the church reformation in Hungary as well as an emblematic figure of the long war with the Ottoman Empire. From 1585 he was the county head (comes) of Szabolcs, Szatmár and Somogy, and the country judge in the meantime. It is surprising that Báthory’s legacy has only drawn the attention of literary and church historians so far, even though it is obvious even from the current sources that the research of Báthory’s life would enable us to understand important cultural, social and administrational issues in his era. An interesting issue could be the examination of the profession, interpersonal relations and the career perspectives of the “szervitor” (noble slaves), who served besides Báthory.</w:t>
      </w:r>
      <w:r>
        <w:rPr>
          <w:color w:val="000000"/>
          <w:sz w:val="24"/>
          <w:szCs w:val="24"/>
        </w:rPr>
        <w:br/>
        <w:t xml:space="preserve">In my paper I examine the concept of familiarity in the medieval court life of Hungary. The uniqueness of my research is twofold. First, it is due to the fact that the Ecsedi court is a completely unique element of Hungarian historiography. Second, my research fills a gap in the literature of medieval Hungarian historiography. While there are various findings about medieval courts in Transylvania, there are only raw data on Hungarian noble families in the early modern ages, thus my study provides a comprehensive picture on Hungarian court life in the 16th and 17th century. In my study I reconstruct the history of István Báthory’s family based on my primary sources, including István Báthory’s detailed testimony. My main goal is to locate Ecsedi Báthory István and determine his importance in his own epoch by presenting his personnel and household.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93698">
    <w:multiLevelType w:val="hybridMultilevel"/>
    <w:lvl w:ilvl="0" w:tplc="51779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93698">
    <w:abstractNumId w:val="864936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93786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