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VIDA</w:t>
            </w:r>
          </w:p>
          <w:p w:rsidR="00C275A3" w:rsidRDefault="00A96AEC" w:rsidP="00C275A3">
            <w:pPr>
              <w:pStyle w:val="Hallgatokepzes"/>
            </w:pPr>
            <w:r>
              <w:t>sociology</w:t>
            </w:r>
            <w:r>
              <w:br/>
            </w:r>
            <w:r w:rsidR="00E77B23">
              <w:t>BA, 2.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R. Várkonyi</w:t>
            </w:r>
          </w:p>
          <w:p w:rsidR="00DB4822" w:rsidRDefault="00DB4822" w:rsidP="00E11062">
            <w:pPr>
              <w:pStyle w:val="Konzulensek"/>
            </w:pPr>
            <w:r w:rsidRPr="00DB4822">
              <w:t>academician,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England our Mother, Holland our Home – Miklós Bethlen’s endeavours to preserve Transylvanian statehood (1680-1716)</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address various aspects of how Miklós Bethlen (1642-1716) created and maintained his wide-ranging network of contacts. In addition to his correspondence and autobiography, I have also relied on other documents, principally Pál Wesselényi and Rabutin de Bussy’s memoirs. The questions asked in this paper can be assigned to the field of information history: my primary focus is on how the communications network was used in relation to the loss of the Transylvanian Principality’s sovereignty.</w:t>
      </w:r>
      <w:r>
        <w:rPr>
          <w:color w:val="000000"/>
          <w:sz w:val="24"/>
          <w:szCs w:val="24"/>
        </w:rPr>
        <w:br/>
        <w:t xml:space="preserve">In Chapter 1, I examine how the establishment of this information system, unique to Transylvania, was begun, what impacts Bethlen had received from his grandfather, Miklós Váradi, his father, János Bethlen, the chancellor, and from his other Transylvanian mentors. I briefly describe his peregrination and his first diplomatic journey, during which he created his first contacts.</w:t>
      </w:r>
      <w:r>
        <w:rPr>
          <w:color w:val="000000"/>
          <w:sz w:val="24"/>
          <w:szCs w:val="24"/>
        </w:rPr>
        <w:br/>
        <w:t xml:space="preserve">Next, I offer an overview of the results of his endeavours, the network of his correspondence that presumably extended as far as London, alongside a discussion of how it was maintained and its main actors. I cover the consequences of the qualitative changes brought on by the Hapsburg expansion in Transylvanian diplomacy as well as in Bethlen’s information network. The preparation and declaration of the Diploma Leopoldinum, the creation and maintenance of an efficient information network in the Vienna court were all major elements of Miklós Bethlen’s programme to save his country, whose fatal conclusion, marking also the peak of Bethlen’s system, was the composition and distribution of the Columba Noe pamphlet.</w:t>
      </w:r>
      <w:r>
        <w:rPr>
          <w:color w:val="000000"/>
          <w:sz w:val="24"/>
          <w:szCs w:val="24"/>
        </w:rPr>
        <w:br/>
        <w:t xml:space="preserve">Bethlen did not cease his activities during his interment in Vienna, and he made every effort to keep in touch with the young generation of Transylvanian nobles – Sándor Teleki, Mihály Teleki’s son among them – to ensure that his endeavours would not come to nought. Sadly, his ideas were deemed too radical and too dangerous in the period’s Transylvanian political atmosphere, and his words carried less weight not only in politics, but also regarding the maintenance of the educational institutions controlled by the Reformed Church. His career was at all times intertwined with efforts to ensure a better orientation and information, providing eloquent proof that the potential of remaining an integral part of Europe was fully perceived by the Transylvanian elite during the final decades of independence.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56540">
    <w:multiLevelType w:val="hybridMultilevel"/>
    <w:lvl w:ilvl="0" w:tplc="75725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56540">
    <w:abstractNumId w:val="75956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733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