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VERES KRISTÓF GYÖRGY</w:t>
            </w:r>
          </w:p>
          <w:p w:rsidR="00C275A3" w:rsidRDefault="00A96AEC" w:rsidP="00C275A3">
            <w:pPr>
              <w:pStyle w:val="Hallgatokepzes"/>
            </w:pPr>
            <w:r>
              <w:t>Levéltár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Körmendi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teljes szerkezetű oklevél a magyar királyi kancelláriai gyakorlatban 1172-1235 között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bő évszázadban a történeti kutatás viszonylag sokat foglakozott III. Béla kancelláriai reformja előtti oklevelekkel, a királyi kápolna oklevéladásával, valamint a III. Béla féle kancelláriai reformmal. Számos tanulmány látott napvilágot ebből a korszakból, mely részletekbe menően, nagy precizitással elemezte a királyi oklevelek oklevélrészeinek fejlődését, a bennük lévő formulák egységesülését, külföldi párhuzamait.</w:t>
      </w:r>
      <w:r>
        <w:rPr>
          <w:color w:val="000000"/>
          <w:sz w:val="24"/>
          <w:szCs w:val="24"/>
        </w:rPr>
        <w:br/>
        <w:t xml:space="preserve">Azonban Imre és II. András korának diplomáiról nem készültek olyan aprólékos, a különböző oklevélrészek fejlődésére összpontosító elemzések, mint a 12. századból.</w:t>
      </w:r>
      <w:r>
        <w:rPr>
          <w:color w:val="000000"/>
          <w:sz w:val="24"/>
          <w:szCs w:val="24"/>
        </w:rPr>
        <w:br/>
        <w:t xml:space="preserve">Jelen dolgozat fő célja, hogy pótolva ezt a hiányt önálló alapkutatásra támaszkodva rekonstruálja az 1172 és 1235 közötti teljes szerkezetű királyi okleveles gyakorlatot külön hangsúlyt fektetve a különböző oklevélrészek használatában beállt változásokra. Ugyanis a különböző formulák időbeli előfordulásának teljeskörű leírása a keltezetlen okleveleknek a korábbiaknál sokkal pontosabb kormeghatározását tesz lehetővé, illetve az oklevelek hitelességének vizsgálatakor is hasznos eszközt ad a kutató kezébe. Ezen túl egy ilyen típusú vizsgálat kiindulási pontként szolgálhat a korabeli teljes magyar okleveles gyakorlat irányvonalainak megállapításában, ti., hogy a királyi kancellária mennyiben szolgált követendő példaként a vidéki okleveles gyakorlatban.</w:t>
      </w:r>
      <w:r>
        <w:rPr>
          <w:color w:val="000000"/>
          <w:sz w:val="24"/>
          <w:szCs w:val="24"/>
        </w:rPr>
        <w:br/>
        <w:t xml:space="preserve">Ugyanakkor dolgozatom nem öncélú, nem csak a diplomatika területén hozhat érdekes eredményeket. Hiszen a királyi oklevelek formuláiban beállt változások alapján arra is választ kaphatunk, hogy az uralkodó és kancellárváltások mennyiben voltak hatással az okleveles gyakorlat. Megfordítva: Az oklevelek formuláiban beállt változások mennyiben estek egybe egy-egy új kancellár feltűnésével. Ennél egy fokkal tovább lépve, a különböző politikai események, zavarok – például András király kereszteshadjárata – milyen mértékben hagytak nyomot a kancellária működésén, vagyis az egyik legfontosabb központi kormányzati intézményen.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398063">
    <w:multiLevelType w:val="hybridMultilevel"/>
    <w:lvl w:ilvl="0" w:tplc="700310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398063">
    <w:abstractNumId w:val="5139806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25767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