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GYÖRGY VERES</w:t>
            </w:r>
          </w:p>
          <w:p w:rsidR="00C275A3" w:rsidRDefault="00A96AEC" w:rsidP="00C275A3">
            <w:pPr>
              <w:pStyle w:val="Hallgatokepzes"/>
            </w:pPr>
            <w:r>
              <w:t>Archival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Kormendi, Dr.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entirely structured charters of the Hungarian Royal Chancellery between 1172 and 1235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more than a century there has been a strong interest among historians regarding the royal charters issued before the reform of the chancellery by king Bela III. Furthermore, scholarly attention has been attracted to the charters issued by the royal chapel, and to the reform of the chancellery itself. Consequently a significant number of papers has been published which meticulously analyzed the structural development of the charters issued during this period. These publications usually also dealt with formularization of these charters while identifying a number of foreign parallels. However, as far as the charters issued by king Emericus and Andreas are concerned, no research has been carried out like those focusing on the 12th century.</w:t>
      </w:r>
      <w:r>
        <w:rPr>
          <w:color w:val="000000"/>
          <w:sz w:val="24"/>
          <w:szCs w:val="24"/>
        </w:rPr>
        <w:br/>
        <w:t xml:space="preserve">The aim of this paper is to reconstruct the development of the entirely structured litterae privilegiales issued by the royal chancellery between 1172 and 1235 putting special emphasis on the changes which occured in the various parts of these charters. The complete cronological model of the use of these parts of charters will enable historians to date the undated charters much more precisely. Moreover it will prove to be a useful tool when the authenticity of a charter is questioned. Also, a research of this kind could serve as a starting point for the reconstraction of the development of the hungarian charter production as a whole. That is, how much did the royal chacellery serve as a model for the rural centers of charter production.</w:t>
      </w:r>
      <w:r>
        <w:rPr>
          <w:color w:val="000000"/>
          <w:sz w:val="24"/>
          <w:szCs w:val="24"/>
        </w:rPr>
        <w:br/>
        <w:t xml:space="preserve">I must point out that my research will also have useful results outside the field of diplomatics. It is so, because the various changes in the structure of these charters may reveal the extent to which the change of king or chancellor affected the production of charters. Vice versa, did the changes in the structure of the charters correlate with the activity of the various chancellors? Going a bit further, how much did the different political events, disturbances – like the crusade of king Andreas – affect the functioning of one of the most important central governmental institutions, i. e. the he royal chancellery.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67178">
    <w:multiLevelType w:val="hybridMultilevel"/>
    <w:lvl w:ilvl="0" w:tplc="79950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67178">
    <w:abstractNumId w:val="300671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269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