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BÁDI</w:t>
            </w:r>
          </w:p>
          <w:p w:rsidR="00C275A3" w:rsidRDefault="00A96AEC" w:rsidP="00C275A3">
            <w:pPr>
              <w:pStyle w:val="Hallgatokepzes"/>
            </w:pPr>
            <w:r>
              <w:t>Archives</w:t>
            </w:r>
            <w:r>
              <w:br/>
            </w:r>
            <w:r w:rsidR="00E77B23">
              <w:t>MA, 1.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Tamás Körmendi Dr.</w:t>
            </w:r>
          </w:p>
          <w:p w:rsidR="00DB4822" w:rsidRDefault="00DB4822" w:rsidP="009763E0">
            <w:pPr>
              <w:pStyle w:val="Konzulensektitulus"/>
            </w:pPr>
            <w:r w:rsidRPr="00DB4822">
              <w:t>adjunct,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the coat of arms in representation of hungarian prelates in Hunyadi-and Jagelló-ages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Prelates had unquestionably huge authority and political influence in medieval Hungary. The need of a high-level representation was also a natural feature of this social role, which was typical for the secular elit too: simbolical revelation of the political might and power. A person can be represented by his clothing, court, residency, buildings, objects, coat of arm, etc.</w:t>
      </w:r>
      <w:r>
        <w:rPr>
          <w:color w:val="000000"/>
          <w:sz w:val="24"/>
          <w:szCs w:val="24"/>
        </w:rPr>
        <w:br/>
        <w:t xml:space="preserve">        According to the findings of Mályusz Elemér the prelates were perfectly integrated into the contemporary aristocracy in the late medieval Hungary: their political role and way of life was same as theirs. My main purpose is to analyse how we can apply this parallelism in the heraldic representation of the prelates.</w:t>
      </w:r>
      <w:r>
        <w:rPr>
          <w:color w:val="000000"/>
          <w:sz w:val="24"/>
          <w:szCs w:val="24"/>
        </w:rPr>
        <w:br/>
        <w:t xml:space="preserve">        Artifacts of the heraldic representation of prelates in the late medieval Hungaryare very diverse: their coat of arms can be seen on the wall of their castles, buildings, churches, etc. These coat of arms symbolise the donator or the builder. It’s exactly the same function that baronial representation has.The coat of armsof bishops appear on different types of seals I looked at. Based on the seal rings, content and form of heraldic representation of the bishops is the same as the baronial one.</w:t>
      </w:r>
      <w:r>
        <w:rPr>
          <w:color w:val="000000"/>
          <w:sz w:val="24"/>
          <w:szCs w:val="24"/>
        </w:rPr>
        <w:br/>
        <w:t xml:space="preserve">Coat of arms in codexes are mainly possessor signs. This function can be observed in most of the examples I specified. But there were some exceptions as well: sometimes the coat of arms refers to the donator. Regarding pontifical coat of arms painted in codexes it’s not the heraldic representationof the secular aristocracy that is of main significance in comparision (only a very few late medieval codexes can be associated with the members of the secular elit), but rather the armoried miniaturesof the codexes belonging to royal libraries.</w:t>
      </w:r>
      <w:r>
        <w:rPr>
          <w:color w:val="000000"/>
          <w:sz w:val="24"/>
          <w:szCs w:val="24"/>
        </w:rPr>
        <w:br/>
        <w:t xml:space="preserve">        In point of the wrought sources I think the findings of Mályusz Elemér are not just completely correct butthe coat of arms in codexes – in some ways – outweigh the representation needs of the secular aristocracy. The coat of arms of the prelateis an important instrument to shape the public image and the self-representation of its owner: it shows property, family origin and status.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87638">
    <w:multiLevelType w:val="hybridMultilevel"/>
    <w:lvl w:ilvl="0" w:tplc="87323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87638">
    <w:abstractNumId w:val="686876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883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