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LADOS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Thoroczkay</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tithes of Pannonhalma in Somogy county from the 11th to the 13th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Benedictine monastery of Pannonhalma, founded by Grand Prince Géza and King Stephen I of Hungary, was one of the first ecclesiastical institution in the newly formed Christian kingdom. It succeeded to preserve its prominent status through the reign of the Árpád dynasty. The foundation of the political power of the abbey was the strong financial background which was originated from the famous tithe donation of King Stephen. The privileges of the abbots were contained by the charter of 1001 and the historical background of the donation was narrated by the charter itself and various hagiographical sources of the 11-12. centuries. After the rebellious Koppány was defeated, Stephen had allocated the tithes of Somogy to the monks of Pannonhalma as a reward for their support during the struggle. The bishop of Veszprém, whose diocese the county of Somogy belonged to, was compensated with the revenues of Kortó.</w:t>
      </w:r>
      <w:r>
        <w:rPr>
          <w:color w:val="000000"/>
          <w:sz w:val="24"/>
          <w:szCs w:val="24"/>
        </w:rPr>
        <w:br/>
        <w:t xml:space="preserve">In the first part of my paper I present a detailed description of the historical background and the Hungarian practice of tithing. After that, based on the narrative sources and the tithe quarrels of the 13. century, I examine the characteristics of the privilege of Pannonhalma.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81484">
    <w:multiLevelType w:val="hybridMultilevel"/>
    <w:lvl w:ilvl="0" w:tplc="16925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81484">
    <w:abstractNumId w:val="42781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4726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