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IVÁN KIS</w:t>
            </w:r>
          </w:p>
          <w:p w:rsidR="00C275A3" w:rsidRDefault="00A96AEC" w:rsidP="00C275A3">
            <w:pPr>
              <w:pStyle w:val="Hallgatokepzes"/>
            </w:pPr>
            <w:r>
              <w:t>History</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Balázs Nagy</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RENEWING CHRISTIANITY IN THE 12THCENTURY: THE WORLDVIEW OF THE LIBELLUS DE DIVERSIS ORDINIBUS ET PROFESSIONIBUS QUI SUNT IN AECCLESIA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paper is examining the work known under the title Libellus de diversis ordinibus et professionibus qui sunt in aecclesia, a source on the history of the church from the12th century. The author of the source is unknown, all that can be known about him is that the initial of his name is R., probably worked in the diocese of Liège, and was a regular canon. This text is a treatise on the state of the church in the 12th century, the unknown canon attempts to classify and categorise Christian communities of his time. He is trying to make the diversity of Western Christianity more transparent by structuring Christian Church in a system of certain viewpoint. In the course of structuring the author is testifying an interesting quality of his: his attitude is conspicuously accepting and open to the diversity of the Church. He introduces ecclesiastical pluralism of the century as part of the plan of God, stating that all communities and groups have special duties and functions. Therefore the diversity of ecclesiastical orders must be accepted.</w:t>
      </w:r>
      <w:r>
        <w:rPr>
          <w:color w:val="000000"/>
          <w:sz w:val="24"/>
          <w:szCs w:val="24"/>
        </w:rPr>
        <w:br/>
        <w:t xml:space="preserve">The paper discusses the reasons behind the accepting statement of the author of the Libellus. In order to achieve this at first I examined the changes leading to the diversity of the Church in the 12th century. The paper also analyses the relation between the Libellus and the Benedictine Rules. Subsequently it outlines an important phenomenon called „the individualism of the 12thcentury”. Finally I pointed out that the accepting attitude of the Libellus to diversity also appears in the works of other authors of the 12thcentury. In the conclusions the paper states that the permissive and individualistic attitude of the Libellus (and other sources) in the framework of the transition known under the name „Renaissance of the12thcentury”.</w:t>
      </w:r>
      <w:r>
        <w:rPr>
          <w:color w:val="000000"/>
          <w:sz w:val="24"/>
          <w:szCs w:val="24"/>
        </w:rPr>
        <w:br/>
        <w:t xml:space="preserve">The Libellus is not simply gives an overview of the state of Latin Christian Church in the 12th century but can be embedded into such processes, which fundamentally transformed the spirituality of Christian Europe. It has long been known that the 11th and 12th century mean a turn in the history of medieval Europe from many points of view and among others it brought great changes in the way of thinking. At the same time the Libellus provides significant help in understanding the new Christian spirituality in the period which brought serious changes.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301717">
    <w:multiLevelType w:val="hybridMultilevel"/>
    <w:lvl w:ilvl="0" w:tplc="584559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301717">
    <w:abstractNumId w:val="283017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4428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