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ANGYAL</w:t>
            </w:r>
          </w:p>
          <w:p w:rsidR="00C275A3" w:rsidRDefault="00A96AEC" w:rsidP="00C275A3">
            <w:pPr>
              <w:pStyle w:val="Hallgatokepzes"/>
            </w:pPr>
            <w:r>
              <w:t>History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Gizella Föglein</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propaganda and the counter-propaganda of the czechoslovakian - hungarian population exchange of the Souht-Eastern regions of the Great Hungarian Plain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Czechoslovakian Resettlement Commission, created by the bilateral agreement on the Czechoslovakian – Hungarian population exchange, started its operations in Hungary in April 1946. Examining the Commission’s activity in Souht-Eastern regions of the Great Hungarian Plain, we can conclude that it based its propaganda mainly on the Slovakian nationalism and the concepts of the nation- state.The comparison of the weakened post-war Hungary’s and Czechoslovakia’s economies also played an important role in the propaganda. Earlier repatriation of the prisoners of war and financial aids were also used by the propaganda to persuade the region’s Slovakian population to apply to be resettled. Another operation of propganda was aiming to spread false information about the future forced deportation of those Slovakians who were unwilling to apply freely. ’Sloboda’, the journal of the Antifascist Front of the Slavs Living in Hungary, was the mouthpiece of the propaganda.</w:t>
      </w:r>
      <w:r>
        <w:rPr>
          <w:color w:val="000000"/>
          <w:sz w:val="24"/>
          <w:szCs w:val="24"/>
        </w:rPr>
        <w:br/>
        <w:t xml:space="preserve">The counter-propaganda was trying to contaminate the reputation of the Antifascist Front’s leaders, who supported the exchange. The rumours of the obligatory deportations were confuted by the members of the National Commission’s county boards, and by politicians, like Mátyás Rákosi and János Gyöngyösi, the president of the Foreign Affairs in Hungary. The counter-propaganda was trying to emphasise the notion of double-consciousness as their real national identity, the common fate, the shared struggles, and history of Hungarians and Slovaks living in Hungary. Furthermore, the conuter-propganda’s press mainly worked on discrediting the activities of the Resettlement Commission. They ridiculed the promises of the Commission, and also published letters from and interviews with Slovaks regretting their former decisions to be resettled, some of whom even returned to Hungary. Most of them complained about unemployment, poverty and poor housing conditions, also of their difficulties in adaptation in their would-be homeland. Those who eventually decided to apply and undertake the process of emigration were motivated by the prospect of better living standards and the emotional pressures. The Slovaks who decided to stay in Hungary felt insecure about moving to a lesser known foreign country, what is more, they regarded Hungary as their real homeland, but also emphasised their double national identities.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226835">
    <w:multiLevelType w:val="hybridMultilevel"/>
    <w:lvl w:ilvl="0" w:tplc="636085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226835">
    <w:abstractNumId w:val="712268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58048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