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LÁSZLÓFI</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Bolgár</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Peasants into kurucs: The creation of the folklore about Rákóczi in Northeast Hungary in the twentieth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Folklore lives in the public consciousness as the original value with centuries-old history, which has never been manipulated by the urban high culture. And its inherent historical knowledge is the own creation of the folk. Imre Ferenczi folklorist and Mátyás Molnár the former director of Vay Ádám Museum of Vaja may have thought it so, when they decided to collect the folklore about Ferenc Rákóczi II. in Szabolcs-Szatmár county, in the winter of 1961-1962. Collecting traditions like these is very important, because they testify that the peasants had both undiminished patriotism and nationalism for centuries.</w:t>
      </w:r>
      <w:r>
        <w:rPr>
          <w:color w:val="000000"/>
          <w:sz w:val="24"/>
          <w:szCs w:val="24"/>
        </w:rPr>
        <w:br/>
        <w:t xml:space="preserve">But my philological researches do not verify this presupposition. The historical knowledge of the people, noticed in the sixties, was not their own creation. Except for some motif, it is demonstrable about every motif that they were acquired from school education or high culture publications made for the folk especially (like calendars, trash etc.) about Rákóczi and his war of independence. This phenomenon fits in Ernest Gellner’s modernist theory of nationalism. According to Gellner’s theory, modern national culture is learnt in school. In the industrial societies, which need widespread difference of professions, this nationalism creates the feeling of togetherness, that’s why the citizens can work together for common goals. In this case, in addition to school education, the process of collection also had a very important role. Ferenczi and Molnár made questionnaire for the students who wrote down the stories that the informant said, in which they had determined clearly what kind of traditions they had been looking for. And the collector students could choose their informants freely, that’s why the interviewed were frequently highly educated people. So this research did not only discover the folklore, but was also shaped by the students and the questionnaire</w:t>
      </w:r>
      <w:r>
        <w:rPr>
          <w:color w:val="000000"/>
          <w:sz w:val="24"/>
          <w:szCs w:val="24"/>
        </w:rPr>
        <w:br/>
        <w:t xml:space="preserve">Despite all the circumstances, we can come to the conclusion that nationalism failed. Although we can notice the marks of the high culture deriving before and after 1945, the knowledge of the informants is not the same. Nationalism is successful, when the citizens' knowledge is homogenous. But in Szabolcs-Szatmár, the stories are different, except for those that I couldn’t trace back to high culture. So they might be real folklore.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25181">
    <w:multiLevelType w:val="hybridMultilevel"/>
    <w:lvl w:ilvl="0" w:tplc="92524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25181">
    <w:abstractNumId w:val="33825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440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