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RICHÁRD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Csugány Julianna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kultúra finanszírozása a Megyei Jogú Városokban – „A salgótarjáni modell”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innováció; költséghatékonyság; kultúrafinanszírozás; nonprofit; Salgótarján.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az elmúlt években Magyarországon folyamatos, nagy változások mentek végbe, mindamellett, hogy rendszerint nem lett nagyobb az adott városok költségvetésének kultúrára fordítandó összege. </w:t>
      </w:r>
      <w:r>
        <w:rPr>
          <w:color w:val="000000"/>
          <w:sz w:val="24"/>
          <w:szCs w:val="24"/>
        </w:rPr>
        <w:br/>
        <w:t xml:space="preserve">Kutatásom célja az volt, hogy megvizsgáljam, milyen összeget fordítanak az egyes Megyei Jogú Városok kultúrára, és hogy e pénzmennyiség a 2014. évi költségvetés hány százaléka. </w:t>
      </w:r>
      <w:r>
        <w:rPr>
          <w:color w:val="000000"/>
          <w:sz w:val="24"/>
          <w:szCs w:val="24"/>
        </w:rPr>
        <w:br/>
        <w:t xml:space="preserve">A kapott adatokat ezt követően összevetettem a hasonló salgótarjáni eredményekkel.</w:t>
      </w:r>
      <w:r>
        <w:rPr>
          <w:color w:val="000000"/>
          <w:sz w:val="24"/>
          <w:szCs w:val="24"/>
        </w:rPr>
        <w:br/>
        <w:t xml:space="preserve">Előzetes hipotéziseim az volt, hogy Salgótarján Megyei Jogú Város Önkormányzata jóval kisebb anyagi ráfordítással tudja ellátni ugyanazon kulturális- művészeti-, sporttevékenységeket, mint a többi Megyei Jogú Város, és ennek oka a Salgótarjáni Közművelődési Nonprofit Kft-ben rejlik.</w:t>
      </w:r>
      <w:r>
        <w:rPr>
          <w:color w:val="000000"/>
          <w:sz w:val="24"/>
          <w:szCs w:val="24"/>
        </w:rPr>
        <w:br/>
        <w:t xml:space="preserve">A hipotézisem beigazolódott: Salgótarján Megyei Jogú Város Önkormányzata a 2014. évi költségvetés alapján nagyságrendekkel kevesebb pénzt fordít a kulturális feladatok ellátására, mint a Megyei Jogú Városok átlagosan. „A salgótarjáni modell” legjelentősebb eredménye: az intézményi működésre jellemző közel 100%-os önkormányzati támogatás aránya az üzleti terv főösszegéhez viszonyítva 2011-ben 72, 2012-ben 60, 2013-ban szintén 60 % volt. 2014-ben ez arány 52 %-ra csökkent.</w:t>
      </w:r>
      <w:r>
        <w:rPr>
          <w:color w:val="000000"/>
          <w:sz w:val="24"/>
          <w:szCs w:val="24"/>
        </w:rPr>
        <w:br/>
        <w:t xml:space="preserve">Mindemellett (az output-ot tekintve) nagymértékben nőtt a szolgáltatásokat igénybevevők száma.</w:t>
      </w:r>
      <w:r>
        <w:rPr>
          <w:color w:val="000000"/>
          <w:sz w:val="24"/>
          <w:szCs w:val="24"/>
        </w:rPr>
        <w:br/>
        <w:t xml:space="preserve">Úgy vélem, hogy a sikerek okozója a Salgótarjáni Közművelődési Nonprofit Kft. Az önkormányzati tulajdonú cég létrehozásával befejeződött az eddig külön-külön működő, egy-egy részfunkciót megvalósító, egymással szoros kapcsolatban nem lévő, elszigetelt, speciális feladatokat ellátó rendszerek működése.</w:t>
      </w:r>
      <w:r>
        <w:rPr>
          <w:color w:val="000000"/>
          <w:sz w:val="24"/>
          <w:szCs w:val="24"/>
        </w:rPr>
        <w:br/>
        <w:t xml:space="preserve">A cég működésmodellje, költségszerkezete sok pénzt tud megtakarítani az önkormányzatnak, és követendő példa lehet a hasonló településeknek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56112">
    <w:multiLevelType w:val="hybridMultilevel"/>
    <w:lvl w:ilvl="0" w:tplc="77584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56112">
    <w:abstractNumId w:val="39356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302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