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RICHÁRD SIMON</w:t>
            </w:r>
          </w:p>
          <w:p w:rsidR="00C275A3" w:rsidRDefault="00A96AEC" w:rsidP="00C275A3">
            <w:pPr>
              <w:pStyle w:val="Hallgatokepzes"/>
            </w:pPr>
            <w:r>
              <w:t>Economist in Business Administration and Management</w:t>
            </w:r>
            <w:r>
              <w:br/>
            </w:r>
            <w:r w:rsidR="00E77B23">
              <w:t>BA, 5. semester</w:t>
            </w:r>
          </w:p>
          <w:p w:rsidR="00C265CE" w:rsidRPr="009E5FF1" w:rsidRDefault="00E77B23" w:rsidP="00C275A3">
            <w:pPr>
              <w:pStyle w:val="Hallgatokepzes"/>
              <w:rPr>
                <w:b/>
                <w:caps/>
              </w:rPr>
            </w:pPr>
            <w:r>
              <w:t>Eszterházy Károly College</w:t>
            </w:r>
            <w:r w:rsidR="00C275A3">
              <w:br/>
            </w:r>
            <w:r w:rsidR="00DB4822">
              <w:t>Faculty of Economics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Julianna Csugány</w:t>
            </w:r>
          </w:p>
          <w:p w:rsidR="00DB4822" w:rsidRDefault="00DB4822" w:rsidP="00E11062">
            <w:pPr>
              <w:pStyle w:val="Konzulensek"/>
            </w:pPr>
            <w:r w:rsidRPr="00DB4822">
              <w:t>professor's assistant, EKF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Financing of culture in the county towns - "The models of Salgótarján"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innovation; cost-effectiveness culture financing; nonprofit; Salgótarján</w:t>
      </w:r>
      <w:r>
        <w:t xml:space="preserve"/>
      </w:r>
    </w:p>
    <w:p>
      <w:pPr>
        <w:widowControl w:val="on"/>
        <w:pBdr/>
        <w:spacing w:before="240" w:after="240" w:line="240" w:lineRule="auto"/>
        <w:ind w:left="0" w:right="0"/>
        <w:jc w:val="left"/>
      </w:pPr>
      <w:r>
        <w:rPr>
          <w:color w:val="000000"/>
          <w:sz w:val="24"/>
          <w:szCs w:val="24"/>
        </w:rPr>
        <w:t xml:space="preserve">Stated that in recent years have taken place in Hungary continued large changes, but usually not increased in the city budget, the amount spent on culture.</w:t>
      </w:r>
      <w:r>
        <w:rPr>
          <w:color w:val="000000"/>
          <w:sz w:val="24"/>
          <w:szCs w:val="24"/>
        </w:rPr>
        <w:br/>
        <w:t xml:space="preserve">The purpose of my research was to investigate how the amount paid to each county rank cities, culture, and that the amount of money the percentage of the budget in 2014.</w:t>
      </w:r>
      <w:r>
        <w:rPr>
          <w:color w:val="000000"/>
          <w:sz w:val="24"/>
          <w:szCs w:val="24"/>
        </w:rPr>
        <w:br/>
        <w:t xml:space="preserve">The data were then compared the results to similar Salgótarján.</w:t>
      </w:r>
      <w:r>
        <w:rPr>
          <w:color w:val="000000"/>
          <w:sz w:val="24"/>
          <w:szCs w:val="24"/>
        </w:rPr>
        <w:br/>
        <w:t xml:space="preserve">Preliminary hypothesis was that Salgótarján much lower cost to the Municipality can perform the same cultural arts and sports activities, other than the County Town, and this is due to SalgótarjániKözművelődési Nonprofit Kft.</w:t>
      </w:r>
      <w:r>
        <w:rPr>
          <w:color w:val="000000"/>
          <w:sz w:val="24"/>
          <w:szCs w:val="24"/>
        </w:rPr>
        <w:br/>
        <w:t xml:space="preserve">The hypothesis was confirmed: Salgótarján Municipality based on the 2014 budget is orders of magnitude less funds for the provision of cultural tasks, such as the County Seat Towns average. "The model of Salgótarján" the most important results: the proportion of the institutional operation of nearly 100% government subsidy in 2011 to 72 in 2012 to 60 in 2013 compared to the business plan was a total of 60% also. In 2014, this rate dropped to 52%.</w:t>
      </w:r>
      <w:r>
        <w:rPr>
          <w:color w:val="000000"/>
          <w:sz w:val="24"/>
          <w:szCs w:val="24"/>
        </w:rPr>
        <w:br/>
        <w:t xml:space="preserve">However, (in terms of output was) the number of service users has increased greatly.</w:t>
      </w:r>
      <w:r>
        <w:rPr>
          <w:color w:val="000000"/>
          <w:sz w:val="24"/>
          <w:szCs w:val="24"/>
        </w:rPr>
        <w:br/>
        <w:t xml:space="preserve">I believe that the success cause Salgótarjáni Közművelődési Nonprofit Kft. The government-owned company by creating a complete operation of the previously separately functioning and performing a part feature, not in isolated closely related to performing specific tasks systems.</w:t>
      </w:r>
      <w:r>
        <w:rPr>
          <w:color w:val="000000"/>
          <w:sz w:val="24"/>
          <w:szCs w:val="24"/>
        </w:rPr>
        <w:br/>
        <w:t xml:space="preserve">The company's operating model, cost structure can save a lot of money from the government, and to be an example for similar settlements.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144923">
    <w:multiLevelType w:val="hybridMultilevel"/>
    <w:lvl w:ilvl="0" w:tplc="957760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144923">
    <w:abstractNumId w:val="981449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13462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