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HAMRIK LÍVIA</w:t>
            </w:r>
          </w:p>
          <w:p w:rsidR="00C275A3" w:rsidRDefault="00A96AEC" w:rsidP="00C275A3">
            <w:pPr>
              <w:pStyle w:val="Hallgatokepzes"/>
            </w:pPr>
            <w:r>
              <w:t>Gazdaságinformatika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Online bankolásban lévő lehetőségek kiaknázása a XXI.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az online bankolást mutatja be, kialakulásától a jövő új lehetőségeiig. Röviden be szeretném mutatni a kialakulását, történetét néhány mondatban, terjedését hazánkban. A szolgáltatásokban rejlő lehetőségek tárházát, valamint az online bankolás, mint szolgáltatás igénylésének menetét. Továbbá megemlíteném a ma hagyományos bankkártyákat, valamint a nemrégiben megjelenő egy érintéssel is használható kártyákat. Több online fizetési lehetőségre és azok módszereire is kitérnék az írásom alatt, valamint az online bankolásban rejlő előnyöket és hátrányokat is megemlítem. A technikai módszereknél előtérbe kerülnek a tranzakció hitelesítő módszerek is. Persze nem mehetünk el a biztonság kérdése mellett sem. Szóba kerülnek lehetséges csalások, melyekre a mindennapokból egy-két példát is hoznék. Illetve az ehhez szorosan kapcsolódó megoldások, védelmi rendszerek is előkerülnek.</w:t>
      </w:r>
      <w:r>
        <w:rPr>
          <w:color w:val="000000"/>
          <w:sz w:val="24"/>
          <w:szCs w:val="24"/>
        </w:rPr>
        <w:br/>
        <w:t xml:space="preserve">A szövegem végén a technikai lehetőségekről, mint például az SAP lehetséges jelenlétét az online bankolásban, az ujjlenyomatos fizető eszközöket, az Apple okostelefonos alkalmazását, az Apple Pay-t, továbbá az ujjlenyomat azonosítót és NFC funkciókat támogató chippeket, a Prepaid kártyás megoldást is bemutatnám. És a folyamatos fejlődésről illetve a jövőben várható trendekről is írtam.</w:t>
      </w:r>
      <w:r>
        <w:rPr>
          <w:color w:val="000000"/>
          <w:sz w:val="24"/>
          <w:szCs w:val="24"/>
        </w:rPr>
        <w:br/>
        <w:t xml:space="preserve">Mindezzel be szeretném mutatni, hogy az inzternet bankolás milyen lendületes növekedésben van, és hogy ez az expanzió még évekig fogja tartani magát. A fejlődés megállíthatatlan: a jövő mindenképpen az elektronikus bankolásé. Mi magunk csak arról dönthetünk szabadon, hogy mikor vesszük fel a kor ritmusát a bankszolgáltatások igénybe vételében is!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13306">
    <w:multiLevelType w:val="hybridMultilevel"/>
    <w:lvl w:ilvl="0" w:tplc="80268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13306">
    <w:abstractNumId w:val="510133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303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