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FÓTHI ÁBEL</w:t>
            </w:r>
          </w:p>
          <w:p w:rsidR="00C275A3" w:rsidRDefault="00A96AEC" w:rsidP="00C275A3">
            <w:pPr>
              <w:pStyle w:val="Hallgatokepzes"/>
            </w:pPr>
            <w:r>
              <w:t>Orvosi biotechnológia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Orbán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Akadémia, Természettudományi Kutatóközpont, Enzimológiai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Gáspári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őssejtspecifikus mikroRNS klaszter, a C19MC expressziójának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miRNS-ek rövid, 21-24 nukleotid hosszú szabályzó RNS-ek, amik a gének poszt-transzkripcionális szabályzásának finomhangolását végzik a cél mRNS-ek degradációját indukálva, vagy az arról történő transzláció gátlásával. Érési mechanizmusuk egy komplex folyamat, a transzkripciója során saját miRNS lokuszáról, vagy egy fehérjét kódoló gén intronikus szakaszáról képződő elsődleges átirat (pri-miRNS) kódolhat egyetlen miRNS-t, vagy akár egy miRNS klasztert is, amelyből a kanonikus útvonalon a Drosha/DGCR8 komplex, majd a Dicer enzim hasítja ki az érett miRNS-eket. Vizsgálataim központi elemei a humán embrionális őssejtekben expresszálódó miRNS-ek egy csoportja, nevezetesen a C19MC klaszter tagjai. A C19MC a legnagyobb humán miRNS klaszter, 46 hajtűkanyar szerkezetében 59 miRNS-t kódol. Irodalmi adatok szerint ez a 100kb hosszú szakasz egyetlen pri-miRNS-ként egyben íródik át.</w:t>
      </w:r>
      <w:r>
        <w:rPr>
          <w:color w:val="000000"/>
          <w:sz w:val="24"/>
          <w:szCs w:val="24"/>
        </w:rPr>
        <w:br/>
        <w:t xml:space="preserve">Taq Man Low Density Array (TLDA) technológiát alkalmazva humán embrionális őssejtekben (HuES9) sikeresen validáltam a C19MC őssejtspecifikus expresszióját. A klasztert alkotó miRNS-ek expressziós értékei között azonban a vártnál nagyobb eltéréseket találtam, ami arra utal, hogy expressziós szabályozásuk már a transzkripcó szintjén is eltérő.</w:t>
      </w:r>
      <w:r>
        <w:rPr>
          <w:color w:val="000000"/>
          <w:sz w:val="24"/>
          <w:szCs w:val="24"/>
        </w:rPr>
        <w:br/>
        <w:t xml:space="preserve">Az ENCODE projektből származó Chip-seq adatok is megerősítik ezt az elméletet. A klaszter előtt és azon belül több transzkripciós faktor kötőhely is van, köztük Nanog és CTCF kötőhelyek is. Továbbá a klaszter promótere előtt elhelyezkedő CpG szigetek és a klaszteren belüli repetitív szekvenciák a differenciáció során metilálódnak. Elméletem szerint a CTCF képes a klaszter metiláltsági állapotát befolyásolni, ami rövidebb pri-miRNS formák képződéséhez, és a miRNS-ek eltérő expressziós szintjeihez vezet.</w:t>
      </w:r>
      <w:r>
        <w:rPr>
          <w:color w:val="000000"/>
          <w:sz w:val="24"/>
          <w:szCs w:val="24"/>
        </w:rPr>
        <w:br/>
        <w:t xml:space="preserve">Hipotézisem kísérletes validálásához a C19MC pri-miRNS-ére specifikus SYBR Green primereket terveztem. Ezzel a módszerrel a klaszter különböző részein, különböző pri-miRNS expressziós szinteket mértem, továbbá ezek a szintek a differenciáció során különbözőképpen változtak. Ebből arra következtetek, hogy nem csak egy hosszú pri-miRNS, hanem bizonyos estekben több rövidebb pri-miRNS is átíródik a klaszterről, és ezek transzkripciója eltérőképpen szabályzódik.</w:t>
      </w:r>
      <w:r>
        <w:rPr>
          <w:color w:val="000000"/>
          <w:sz w:val="24"/>
          <w:szCs w:val="24"/>
        </w:rPr>
        <w:br/>
        <w:t xml:space="preserve">Rákos jellegű sejtvonalak egy részében őssejtspecifikus transzkripciós faktorok és miRNS-ek, köztük a C19MC tagjai is expresszálódnak. Ez alapján lehetséges, hogy az őssejtekben vizsgált szabályzó rendszer ezekben a sejtekben is jelen van. Ez a feltételezés későbbi vizsgálatok alapja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60759">
    <w:multiLevelType w:val="hybridMultilevel"/>
    <w:lvl w:ilvl="0" w:tplc="49280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60759">
    <w:abstractNumId w:val="944607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268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