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ÁBEL FÓTHI</w:t>
            </w:r>
          </w:p>
          <w:p w:rsidR="00C275A3" w:rsidRDefault="00A96AEC" w:rsidP="00C275A3">
            <w:pPr>
              <w:pStyle w:val="Hallgatokepzes"/>
            </w:pPr>
            <w:r>
              <w:t>Medical biotechnology</w:t>
            </w:r>
            <w:r>
              <w:br/>
            </w:r>
            <w:r w:rsidR="00E77B23">
              <w:t>MSc, 4. semester</w:t>
            </w:r>
          </w:p>
          <w:p w:rsidR="00C265CE" w:rsidRPr="009E5FF1" w:rsidRDefault="00E77B23" w:rsidP="00C275A3">
            <w:pPr>
              <w:pStyle w:val="Hallgatokepzes"/>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Orbán</w:t>
            </w:r>
          </w:p>
          <w:p w:rsidR="00DB4822" w:rsidRDefault="00DB4822" w:rsidP="00E11062">
            <w:pPr>
              <w:pStyle w:val="Konzulensek"/>
            </w:pPr>
            <w:r w:rsidRPr="00DB4822">
              <w:t>senior research fellow,  Institute of Enzymology, Research Centre for Natural Sciences, Hungarian Academy of Sciences</w:t>
            </w:r>
          </w:p>
        </w:tc>
      </w:tr>
      <w:tr w:rsidR="00DB4822" w:rsidTr="00DB4822">
        <w:tc>
          <w:tcPr>
            <w:tcW w:w="9854" w:type="dxa"/>
          </w:tcPr>
          <w:p w:rsidR="00DB4822" w:rsidRPr="00DB4822" w:rsidRDefault="00DB4822" w:rsidP="004D7940">
            <w:pPr>
              <w:pStyle w:val="Konzulensek"/>
            </w:pPr>
            <w:r w:rsidRPr="00DB4822">
              <w:t>Zoltán Gáspári</w:t>
            </w:r>
          </w:p>
          <w:p w:rsidR="00DB4822" w:rsidRDefault="00DB4822" w:rsidP="00E11062">
            <w:pPr>
              <w:pStyle w:val="Konzulensek"/>
            </w:pPr>
            <w:r w:rsidRPr="00DB4822">
              <w:t>associate 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Investigating the regulation of a stem cell specific human microRNA cluster C19MC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MicroRNAs are small regulatory RNAs of 21-24 nucleotides in length. Their function is fine tuning the post-transcriptional regulation of genes by targeting mRNA molecules via sequence complementarity with their 3’-untranslated region for mRNA decay and/or translation inhibition. During their maturation process, they are transcribed either from their own microRNA locus or as an intronic sequence of a protein coding gene. This primary transcript (pri-miRNA) can encode a single microRNA or a cluster of microRNAs which, in the canonical pathway, undergo further subsequent nucleolytic cleavages by the Drosha/DGCR8 complex and Dicer to form mature microRNA molecules. Our subject of interest is C19MC, which is the biggest human microRNA cluster containing 54 separate miRNA hairpin structures. These microRNAs are currently believed to be expressed simultaneously and in terms of expression pattern, exclusively in stem cells and placenta.</w:t>
      </w:r>
      <w:r>
        <w:rPr>
          <w:color w:val="000000"/>
          <w:sz w:val="24"/>
          <w:szCs w:val="24"/>
        </w:rPr>
        <w:br/>
        <w:t xml:space="preserve">Using TaqMan Low Density Array (TLDA) technology I successfully validated the stem cell specificity of C19MC in a human stem cell line (HuES9). However, I found significant expression differences within the cluster. Aa an explanation for this phenomenon, we propose that there are different transcriptional regulatory mechanisms inside the cluster.</w:t>
      </w:r>
      <w:r>
        <w:rPr>
          <w:color w:val="000000"/>
          <w:sz w:val="24"/>
          <w:szCs w:val="24"/>
        </w:rPr>
        <w:br/>
        <w:t xml:space="preserve">Chip-seq data from Encode project strengthens this idea which seems to be further supported by the presence of Nanog and CTCF binding sites found before and inside the cluster. In case of the C19MC, a CpG island near to the promoter of the cluster, as well as several repetitive sequences in the cluster are targets of methylation. According to my hypothesis, CTCF regulates the methylation of the cluster, causing different transcription of various pri-miRNAs and different expression levels of the mature miRNAs.</w:t>
      </w:r>
      <w:r>
        <w:rPr>
          <w:color w:val="000000"/>
          <w:sz w:val="24"/>
          <w:szCs w:val="24"/>
        </w:rPr>
        <w:br/>
        <w:t xml:space="preserve">Based on this hypothesis, I designed PCR primers for SYBR Green qRT-PCR measurements. Using this method I have found altered levels of pri-miRNAs and their dynamics when comparing different parts of the cluster. In conclusion, our data supports the hypothesis that there are more, smaller pri-miRNAs transcribed in the cluster and their transcription activity are regulated uniquely during differentiation of the cell.</w:t>
      </w:r>
      <w:r>
        <w:rPr>
          <w:color w:val="000000"/>
          <w:sz w:val="24"/>
          <w:szCs w:val="24"/>
        </w:rPr>
        <w:br/>
        <w:t xml:space="preserve">Expression of stem cell specific transcriptional factors and miRNAs in tumorous cells suggests that this regulatory mechanism exists in certain cancer cell types but this presumption needs further investigation.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56975">
    <w:multiLevelType w:val="hybridMultilevel"/>
    <w:lvl w:ilvl="0" w:tplc="82207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56975">
    <w:abstractNumId w:val="624569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1010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