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VIVIEN MICZÁN</w:t>
            </w:r>
          </w:p>
          <w:p w:rsidR="00C275A3" w:rsidRDefault="00A96AEC" w:rsidP="00C275A3">
            <w:pPr>
              <w:pStyle w:val="Hallgatokepzes"/>
            </w:pPr>
            <w:r>
              <w:t>Medical Biotechnology</w:t>
            </w:r>
            <w:r>
              <w:br/>
            </w:r>
            <w:r w:rsidR="00E77B23">
              <w:t>MSc, 11. semester</w:t>
            </w:r>
          </w:p>
          <w:p w:rsidR="00C265CE" w:rsidRPr="009E5FF1" w:rsidRDefault="00E77B23" w:rsidP="009763E0">
            <w:pPr>
              <w:pStyle w:val="Hallgatointezmeny-kar"/>
              <w:rPr>
                <w:b/>
                <w:caps/>
              </w:rPr>
            </w:pPr>
            <w:r>
              <w:t>Pázmány Péter Catholic University</w:t>
            </w:r>
            <w:r w:rsidR="00C275A3">
              <w:br/>
            </w:r>
            <w:r w:rsidR="00DB4822">
              <w:t>Faculty of Information Technology and Bionics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István Katona</w:t>
            </w:r>
          </w:p>
          <w:p w:rsidR="00DB4822" w:rsidRDefault="00DB4822" w:rsidP="009763E0">
            <w:pPr>
              <w:pStyle w:val="Konzulensektitulus"/>
            </w:pPr>
            <w:r w:rsidRPr="00DB4822">
              <w:t>scientific advisor,  MTA KOKI</w:t>
            </w:r>
          </w:p>
        </w:tc>
      </w:tr>
      <w:tr w:rsidR="00DB4822" w:rsidTr="00DB4822">
        <w:tc>
          <w:tcPr>
            <w:tcW w:w="9854" w:type="dxa"/>
          </w:tcPr>
          <w:p w:rsidR="00DB4822" w:rsidRPr="00DB4822" w:rsidRDefault="00DB4822" w:rsidP="009763E0">
            <w:pPr>
              <w:pStyle w:val="Konzulenseknev"/>
            </w:pPr>
            <w:r w:rsidRPr="00DB4822">
              <w:t>Dr. András Horváth</w:t>
            </w:r>
          </w:p>
          <w:p w:rsidR="00DB4822" w:rsidRDefault="00DB4822" w:rsidP="009763E0">
            <w:pPr>
              <w:pStyle w:val="Konzulensektitulus"/>
            </w:pPr>
            <w:r w:rsidRPr="00DB4822">
              <w:t>assistant professor,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subcellular distribution of CB1 cannabinoid receptors with correlated confocal and superresolution STORM microscopy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operational principles and plasticity of chemical synapses in the brain cannot be understood without a better knowledge on the distribution and quantity of synaptic proteins. The endocannabinoid signalling system plays a key role in the regulation of neurotransmitter release in various different synapse types of the central nervous system. Nonetheless little is known about the regulation of the amount and subcellular distribution of the CB</w:t>
      </w:r>
      <w:r>
        <w:rPr>
          <w:color w:val="000000"/>
          <w:position w:val="-4"/>
          <w:sz w:val="21"/>
          <w:szCs w:val="21"/>
          <w:vertAlign w:val="subscript"/>
        </w:rPr>
        <w:t xml:space="preserve">1</w:t>
      </w:r>
      <w:r>
        <w:rPr>
          <w:color w:val="000000"/>
          <w:sz w:val="24"/>
          <w:szCs w:val="24"/>
        </w:rPr>
        <w:t xml:space="preserve"> cannabinoid receptor which is situated in axon terminals and mediates retrograde synaptic transmission. We choose STochastic Optical Reconstruction Microscopy (STORM) to study the nanoscale distribution of the CB</w:t>
      </w:r>
      <w:r>
        <w:rPr>
          <w:color w:val="000000"/>
          <w:position w:val="-4"/>
          <w:sz w:val="21"/>
          <w:szCs w:val="21"/>
          <w:vertAlign w:val="subscript"/>
        </w:rPr>
        <w:t xml:space="preserve">1</w:t>
      </w:r>
      <w:r>
        <w:rPr>
          <w:color w:val="000000"/>
          <w:sz w:val="24"/>
          <w:szCs w:val="24"/>
        </w:rPr>
        <w:t xml:space="preserve"> receptors, which offers a spatial resolution at an order of magnitude better than achievable with conventional light microscopy. We combined the STORM method with confocal microscopy to obtain superresolution data with cell- and compartment-specific context regarding the molecular distribution of the selected protein. We developed an easy-to-use and flexible software for the evaluation of the different image modalities and for the coordinate-based analysis of STORM data. We performed double anti-CB</w:t>
      </w:r>
      <w:r>
        <w:rPr>
          <w:color w:val="000000"/>
          <w:position w:val="-4"/>
          <w:sz w:val="21"/>
          <w:szCs w:val="21"/>
          <w:vertAlign w:val="subscript"/>
        </w:rPr>
        <w:t xml:space="preserve">1</w:t>
      </w:r>
      <w:r>
        <w:rPr>
          <w:color w:val="000000"/>
          <w:sz w:val="24"/>
          <w:szCs w:val="24"/>
        </w:rPr>
        <w:t xml:space="preserve"> and anti-neuroligin-2 fluorescent immunostaining on perfused mouse hippocampal slices and used correlated confocal and STORM imaging. We determined the location of the synapses with the help of the confocal image of the postsynaptic active zone marker neuroligin-2. We showed that CB</w:t>
      </w:r>
      <w:r>
        <w:rPr>
          <w:color w:val="000000"/>
          <w:position w:val="-4"/>
          <w:sz w:val="21"/>
          <w:szCs w:val="21"/>
          <w:vertAlign w:val="subscript"/>
        </w:rPr>
        <w:t xml:space="preserve">1</w:t>
      </w:r>
      <w:r>
        <w:rPr>
          <w:color w:val="000000"/>
          <w:sz w:val="24"/>
          <w:szCs w:val="24"/>
        </w:rPr>
        <w:t xml:space="preserve"> receptor number correlates with bouton size, and surprisingly, CB</w:t>
      </w:r>
      <w:r>
        <w:rPr>
          <w:color w:val="000000"/>
          <w:position w:val="-4"/>
          <w:sz w:val="21"/>
          <w:szCs w:val="21"/>
          <w:vertAlign w:val="subscript"/>
        </w:rPr>
        <w:t xml:space="preserve">1</w:t>
      </w:r>
      <w:r>
        <w:rPr>
          <w:color w:val="000000"/>
          <w:sz w:val="24"/>
          <w:szCs w:val="24"/>
        </w:rPr>
        <w:t xml:space="preserve"> receptor density was similar in the intrasynaptic and the extrasynaptic zone. We have developed the first software for correlated visualization and analysis of confocal and STORM data and used this tool to show the homogenous distribution of CB</w:t>
      </w:r>
      <w:r>
        <w:rPr>
          <w:color w:val="000000"/>
          <w:position w:val="-4"/>
          <w:sz w:val="21"/>
          <w:szCs w:val="21"/>
          <w:vertAlign w:val="subscript"/>
        </w:rPr>
        <w:t xml:space="preserve">1</w:t>
      </w:r>
      <w:r>
        <w:rPr>
          <w:color w:val="000000"/>
          <w:sz w:val="24"/>
          <w:szCs w:val="24"/>
        </w:rPr>
        <w:t xml:space="preserve"> receptors in inhibitory axon terminals.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421016">
    <w:multiLevelType w:val="hybridMultilevel"/>
    <w:lvl w:ilvl="0" w:tplc="868354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421016">
    <w:abstractNumId w:val="424210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15690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