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FAZEKAS</w:t>
            </w:r>
          </w:p>
          <w:p w:rsidR="00C275A3" w:rsidRDefault="00A96AEC" w:rsidP="00C275A3">
            <w:pPr>
              <w:pStyle w:val="Hallgatokepzes"/>
            </w:pPr>
            <w:r>
              <w:t>Hungarian</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Piroska Vitekné Balogh</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Walking in Pest-Buda: The visualisation of the capital's life in the magazines between 1840 and 1848</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essay concentrates on magazines concerned with fashion from the 1840’s, specifically on writings in them, which were not published as those of literary value, although nowadays this character can also be found in them, hence their importance.</w:t>
      </w:r>
      <w:r>
        <w:rPr>
          <w:color w:val="000000"/>
          <w:sz w:val="24"/>
          <w:szCs w:val="24"/>
        </w:rPr>
        <w:br/>
        <w:t xml:space="preserve">The main area of interest is the reconstruction of the life of Pest-Buda by published articles (mainly by news, genres, feuilletons and anecdotes). The city itself made the biggest impact on authors, so, on the basis of the texts, a description of an age, history of towns can be constructed. But mostly it suggests it’s atmosphere, the way people lived, the way they were. The writings does not stop at characterising the higher class – the glittering salons, the commentaries of balls are side by side with city simpletons.</w:t>
      </w:r>
      <w:r>
        <w:rPr>
          <w:color w:val="000000"/>
          <w:sz w:val="24"/>
          <w:szCs w:val="24"/>
        </w:rPr>
        <w:br/>
        <w:t xml:space="preserve">The examination hands us a picture of the period journalism and journalists. Presented festivities, such as winter’s seasonal carnival, summer’s festivals and races, show us the vibration of Pest-Buda. The magazines target women, therefore the studied texts are effected by female interests. Because of this, some authors chose to write about social life, balls and gossips are often featured. In other texts, the man of the street focuses on, and writes about personal experiences. Like this, besides glitter, dust and mud, the happenings of everyday life can also be topics.</w:t>
      </w:r>
      <w:r>
        <w:rPr>
          <w:color w:val="000000"/>
          <w:sz w:val="24"/>
          <w:szCs w:val="24"/>
        </w:rPr>
        <w:br/>
        <w:t xml:space="preserve">As it is percievable, the authors did not select. Whatever they have seen in the capital, whatever concerned the inhabitants, they put it on paper. The writings used humour almost without exception, there are plenty of satiric and sarcastic, pointful news. This, indeed, led to the birth of amusing literary constructions, which are lasting painings of this era.</w:t>
      </w:r>
      <w:r>
        <w:rPr>
          <w:color w:val="000000"/>
          <w:sz w:val="24"/>
          <w:szCs w:val="24"/>
        </w:rPr>
        <w:br/>
        <w:t xml:space="preserve">These make the picture vivid and valid, by which we can take a walk in the reform period Pest-Buda today.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852040">
    <w:multiLevelType w:val="hybridMultilevel"/>
    <w:lvl w:ilvl="0" w:tplc="457085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852040">
    <w:abstractNumId w:val="788520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57832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