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KONKOLY</w:t>
            </w:r>
          </w:p>
          <w:p w:rsidR="00C275A3" w:rsidRDefault="00A96AEC" w:rsidP="00C275A3">
            <w:pPr>
              <w:pStyle w:val="Hallgatokepzes"/>
            </w:pPr>
            <w:r>
              <w:t>Literary and Cultural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Bónus</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Pursuit of Perception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is about the relations of the three most significant forms of perception – sight, hearing and touching – in the story of Narcissus and Echo in Ovid’s Metamorphoses. Furthermore what kind of connections do these modalities build with the following rhetorical devices: 1. intertextuality, whose most relevant feature is the repetition, which takes part in this story, since Narcissus is the figure of the visual and Echo is the figure of the auditive repetition. 2. ekphrasis, which generally questions the ontology of the image and the voice, but here in this text refers in addition to the touching. 3. prosopopeia, the figure of giving faces to unseen or absent origin of the voices. 4. irony, which refers to the dichotomies of image and voice, fiction and reality, writing and speech, presence and absence. Nevertheless how does the reading has already been inscribed into the perception, that – in this text – becomes the allegory of reading.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97745">
    <w:multiLevelType w:val="hybridMultilevel"/>
    <w:lvl w:ilvl="0" w:tplc="88006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97745">
    <w:abstractNumId w:val="91397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684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