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PETRA KUNNER</w:t>
            </w:r>
          </w:p>
          <w:p w:rsidR="00C275A3" w:rsidRDefault="00A96AEC" w:rsidP="00C275A3">
            <w:pPr>
              <w:pStyle w:val="Hallgatokepzes"/>
            </w:pPr>
            <w:r>
              <w:t>Literary and Cultural Studies</w:t>
            </w:r>
            <w:r>
              <w:br/>
            </w:r>
            <w:r w:rsidR="00E77B23">
              <w:t>MA, 1. semester</w:t>
            </w:r>
          </w:p>
          <w:p w:rsidR="00C265CE" w:rsidRPr="009E5FF1" w:rsidRDefault="00E77B23" w:rsidP="00C275A3">
            <w:pPr>
              <w:pStyle w:val="Hallgatokepzes"/>
              <w:rPr>
                <w:b/>
                <w:caps/>
              </w:rPr>
            </w:pPr>
            <w:r>
              <w:t>Eötvös Loránd University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Tamás Lénárt</w:t>
            </w:r>
          </w:p>
          <w:p w:rsidR="00DB4822" w:rsidRDefault="00DB4822" w:rsidP="00E11062">
            <w:pPr>
              <w:pStyle w:val="Konzulensek"/>
            </w:pPr>
            <w:r w:rsidRPr="00DB4822">
              <w:t>professor's assistant,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Archive of a Trauma: The Hunger Angel as a Textual and Structural Model of Trauma Mechanism</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With reference to literature and trauma, literature focuses mainly on the possibilities and impossibilities of narration along the term of testimony. Besides I touch upon the difficulties of language and transmissibility in my study I present The Hunger Angel within trauma theory as a novel that reflects not only on the trauma but also creates the traumatic event and the mechanism of trauma by the means of narration. From this starting point my examination is based on reflexive figures, which contribute to the modelling of trauma mechanism both on the structural and textual levels of the novel. My research ranges over three fields: language, remembrance and – closely related to the latter – body representation stand in the centre of the study. Furthermore, a seemingly paradoxical relation of trauma and archive evolves within these fields if we think about the characteristic continuance of trauma on more semantic layers – which implies some kind of openness – and the closeness attached to the archive. Although it is discussed only superficially in my study, I consider it as a more essential problem both from the novel’s point of view and also from the perspective of the questions of trauma theory in general. In my opinion The Hunger Angel implements such a piece of trauma literature, which joins the tradition not only as a medium of traumatic events, and represent the events from not only one specific aspect. By using more representative methods the novel models both the event and the experience as a complex structure, as well as the appearing symptoms as the consequence of these events. Their collective term is the term of trauma itself. At the same time the novel reflects on itself as a complex system too. Therefore the author applies the characteristics of the trauma mechanism to the text, as well as the technics provided by the written text to evoke the mechanism.</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1776898">
    <w:multiLevelType w:val="hybridMultilevel"/>
    <w:lvl w:ilvl="0" w:tplc="4942814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1776898">
    <w:abstractNumId w:val="4177689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7855556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