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LILLA MÁRTA</w:t>
            </w:r>
          </w:p>
          <w:p w:rsidR="00C275A3" w:rsidRDefault="00A96AEC" w:rsidP="00C275A3">
            <w:pPr>
              <w:pStyle w:val="Hallgatokepzes"/>
            </w:pPr>
            <w:r>
              <w:t>irodalom- és kultúratudomány</w:t>
            </w:r>
            <w:r>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Eisemann György</w:t>
            </w:r>
          </w:p>
          <w:p w:rsidR="00DB4822" w:rsidRDefault="00DB4822" w:rsidP="009763E0">
            <w:pPr>
              <w:pStyle w:val="Konzulensektitulus"/>
            </w:pPr>
            <w:r w:rsidRPr="00DB4822">
              <w:t>egyetemi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"felhólyagzott vízpára" alak öltése, avagy hogyan konstruáljuk meg a magyar irodalmi népiesség, a népnemzeti iskola és a nemzeti klasszicizmus kapcsolatát Arany János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magyar irodalmi népiesség nem csupán mint irodalmi, hanem mint kulturális jelenség is meghatározó szerepet tölt be a magyar romantika értelmezésében. A népiességet igyekeztem olyan aspektusból vizsgálni, hogy milyen viszonyban áll megszólalásának közegével, mivel úgy vélem, hogy a mediális fókuszú gondolkodás segíthet feltárni a magyar romantikán belüli népiesség irodalmi és kultúrtörténeti, kulturális emlékezetbeli vonásait. A szóbeliség és írásbeliség viszonyának kérdésköre ilyen módon előtérbe kerül a dolgozatban, és így az emlékezés és az emlékeztetés módjának vizsgálata is az orális és literális kontextusokban. A népiesség egyfajta pszeudo-oralitással rendelkezik a magyar romantika irodalmában. Próbál elbeszélni (vagy kirajzolni) a nyomtatott irodalomban való materializálódása által olyan viszonyokat, melyek a megszólaló hang alanyiságát és közvetlenségét igyekeznek erősíteni. Mindez azonban írásban történik, ezáltal önmaga fedi fel ingoványos létmódját.</w:t>
      </w:r>
      <w:r>
        <w:rPr>
          <w:color w:val="000000"/>
          <w:sz w:val="24"/>
          <w:szCs w:val="24"/>
        </w:rPr>
        <w:br/>
        <w:t xml:space="preserve">       A népies nyelv alakulástörténetének mediális viszonyait Arany János forradalom előtti és utáni munkáiban próbálom értelmezni. Az interpretációk központjába főként Arany János irodalmi változásokra reagáló epikai vállalkozásait, lírai, kritikai és teoretikus reflexióit állítva. Ez felveti, hogy az Arany-korpusz bizonyos darabjait mediológiai szempontok szerint olvassam illetve azt is, hogy a korszakban alkotott más jellegű megszólalásokat szintén ebben a kontextusban próbáljam szemlélni.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85539">
    <w:multiLevelType w:val="hybridMultilevel"/>
    <w:lvl w:ilvl="0" w:tplc="47124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85539">
    <w:abstractNumId w:val="948855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7212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