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MÁRTA NÉMETH</w:t>
            </w:r>
          </w:p>
          <w:p w:rsidR="00C275A3" w:rsidRDefault="00A96AEC" w:rsidP="00C275A3">
            <w:pPr>
              <w:pStyle w:val="Hallgatokepzes"/>
            </w:pPr>
            <w:r>
              <w:t>literature and culture studies</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Eisemann</w:t>
            </w:r>
          </w:p>
          <w:p w:rsidR="00DB4822" w:rsidRDefault="00DB4822" w:rsidP="009763E0">
            <w:pPr>
              <w:pStyle w:val="Konzulensektitulus"/>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shaping of „felhólyagzott vízpára”, or how we construct the connection between Hungarian literary folk-patriotism [népiesség], Folk-patriotic school [népnemzeti iskola] and national Classicism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literary folk-patriotism has a dominant role not only as a literary, but also as a cultural phenomenon in the interpretation of Hungarian Romantic period. In this thesis, my aim was to examine folk-patriotism in the aspect of what is its relation to the medium of its articulation. This was so because I think that focusing on mediality could help us to disclose the literary, cultural-historical aspects of folk-patriotism. It also gives us deep insights in connection with the shaping of collective memory. Thus the main questions of my essay dealt with the relationship between verbality and literacy, and with collective memory and the modes of this recollection in different contexts. In the literature of Hungarian Romanticism, folk-patriotism has a kind of pseudo-orality. Through its materialization in printed literature, it tries to build up its narration in a way that stresses the subjectivity and directedness of the evocative voice. As a matter of fact, all these happened in writing, herewith this voice itself unveils its indefinite existence.</w:t>
      </w:r>
      <w:r>
        <w:rPr>
          <w:color w:val="000000"/>
          <w:sz w:val="24"/>
          <w:szCs w:val="24"/>
        </w:rPr>
        <w:br/>
        <w:t xml:space="preserve">     I try to interpret the medial relationship of the language of folk-patriotism in works of János Arany, which he wrote before and after the revolution. My interpretation focuses on the lyrical, (constantly altering and age-reflecting) epical, critical, theoretical, works of János Arany. Succinctly, I attempted to read some works of the Arany-corpus with the help of a mediological perspective, and later on, this perspective could make it possible to read other contemporary works in this same context.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64418">
    <w:multiLevelType w:val="hybridMultilevel"/>
    <w:lvl w:ilvl="0" w:tplc="64663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64418">
    <w:abstractNumId w:val="46164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090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