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MEGYER GYÖNGYÖSI</w:t>
            </w:r>
          </w:p>
          <w:p w:rsidR="00C275A3" w:rsidRDefault="00A96AEC" w:rsidP="00C275A3">
            <w:pPr>
              <w:pStyle w:val="Hallgatokepzes"/>
            </w:pPr>
            <w:r>
              <w:t>philosophy</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Bálint Somlyó PhD</w:t>
            </w:r>
          </w:p>
          <w:p w:rsidR="00DB4822" w:rsidRDefault="00DB4822" w:rsidP="009763E0">
            <w:pPr>
              <w:pStyle w:val="Konzulensektitulus"/>
            </w:pPr>
            <w:r w:rsidRPr="00DB4822">
              <w:t>associate professor, ELTE BTK</w:t>
            </w:r>
          </w:p>
        </w:tc>
      </w:tr>
      <w:tr w:rsidR="00DB4822" w:rsidTr="00DB4822">
        <w:tc>
          <w:tcPr>
            <w:tcW w:w="9854" w:type="dxa"/>
          </w:tcPr>
          <w:p w:rsidR="00DB4822" w:rsidRPr="00DB4822" w:rsidRDefault="00DB4822" w:rsidP="009763E0">
            <w:pPr>
              <w:pStyle w:val="Konzulenseknev"/>
            </w:pPr>
            <w:r w:rsidRPr="00DB4822">
              <w:t>Csaba Olay PhD</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Historical Experience and Memory in Walter Benjamin’s Work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Benjamin’s work is usually divided into two periods: an early 'Platonic', and a late 'mature' or 'Marxist' period. The year of 1928 is often considered to be the turning point, when both the One-Way Street and The Origin of German Tragic Drama were published. Although a shift in Benjamin’s style and approach is beyond question, there are some core questions which are the main motives of the whole oeuvre, so they can relativize (the legitimacy of) this periodization. Such a core question or the Archimedean point of Benjamin's philosophy is the problem of history. The aim of this paper is twofold. On the one hand it tries to give a new perspective to such main questions of the Benjamin-research like Benjamin's relation to Marxism while showing the inner structure of Benjamin's philosophy. Besides this - in an etymological sense - esoteric aim, there is an exoteric purpose too: it attempts to describe Benjamin’s thoughts on history as a coherent philosophy which has not lost its actuality, or validity. To prove this, the first two chapters of the paper investigate the general frames of Benjamin's philosophy of history and its epistemological ground - with a special emphasis on Benjamin's opposition to various traditions of philosophy of history. The following two chapters review Benjamin’s thoughts on his own era, the modernity, and on the poverty of human experience as the major phenomenon of the crisis of his time. Then to conclude the paper I will show Benjamin's proposal on reviving the cultural tradition as the way of struggling against the impoverishment of human experience.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94525">
    <w:multiLevelType w:val="hybridMultilevel"/>
    <w:lvl w:ilvl="0" w:tplc="78391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94525">
    <w:abstractNumId w:val="924945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897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