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CSILLA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Eördöghné Dr. Miklós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PMMIK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Lenkovics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műszaki oktató,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ember egészségi állapotára ható komfort körülmények – azon belül főként a hőkomfort –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előtérbe került az energiatakarékosság fogalma, ennek érdekében célszerű olyan épületgépészeti rendszereket kialakítani, melyek energiafelhasználása a lehető legalacsonyabb. Az épületek energiafelhasználásával kapcsolatos irányelvek is az egyre kisebb hőveszteségű, illetve az egyre légtömörebb épületek tervezését írják elő.</w:t>
      </w:r>
      <w:r>
        <w:rPr>
          <w:color w:val="000000"/>
          <w:sz w:val="24"/>
          <w:szCs w:val="24"/>
        </w:rPr>
        <w:br/>
        <w:t xml:space="preserve">Az épületgépészeti rendszerek megválasztásakor a gazdaságosság és a környezetvédelem mellett azonban a komfortkövetelményeket is szem előtt kell tartani. Ez azért is nagyon fontos, mert a fejlett országokban az emberek többsége élete döntő hányadát különböző épületeken belül tölti. A légtömör épületek szinte teljesen elválasztják a belső teret a külsőtől, tehát ennek a zárt térnek olyannak kell lennie, amely minden szempontból megfelel a benntartozkodók komfort követelményeinek. Ebben a „mesterséges környezetben” be kell tartani az emberek megfelelő élettani működése szempontjából fontos egészségügyi követelményeket.</w:t>
      </w:r>
      <w:r>
        <w:rPr>
          <w:color w:val="000000"/>
          <w:sz w:val="24"/>
          <w:szCs w:val="24"/>
        </w:rPr>
        <w:br/>
        <w:t xml:space="preserve">Egészségügyi végzettségemből adódóan érdekesnek találtam az ember egészségi állapotára ható komfortkörülmények – azon belül főként a hőkomfort – vizsgálatának elemzését. A dolgozat ismerteti a termikus komforttal kapcsolatos fogalmakat, részletesen írok az ember hőtermeléséről, hőleadásáról, hőháztartásáról, hőérzetéről, komfortérzetéről, a komfort- és diszkomfort jellemzőkről és bemutatom ezek alkalmazását a tervezési gyakorlatban.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54628">
    <w:multiLevelType w:val="hybridMultilevel"/>
    <w:lvl w:ilvl="0" w:tplc="88992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54628">
    <w:abstractNumId w:val="808546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003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