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DÁNIEL GERGELY</w:t>
            </w:r>
          </w:p>
          <w:p w:rsidR="00C275A3" w:rsidRDefault="00A96AEC" w:rsidP="00C275A3">
            <w:pPr>
              <w:pStyle w:val="Hallgatokepzes"/>
            </w:pPr>
            <w:r>
              <w:t>Mechanical engineering – Building engineering</w:t>
            </w:r>
            <w:r>
              <w:br/>
            </w:r>
            <w:r w:rsidR="00E77B23">
              <w:t>BSc, 7.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Baumann, Mihály</w:t>
            </w:r>
          </w:p>
          <w:p w:rsidR="00DB4822" w:rsidRDefault="00DB4822" w:rsidP="00E11062">
            <w:pPr>
              <w:pStyle w:val="Konzulensek"/>
            </w:pPr>
            <w:r w:rsidRPr="00DB4822">
              <w:t>assistant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Optimalisation of pipeline diameters in heating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field of building engineering, heating is among the most researched subjects, partly because it takes a crucial part in maintaining acceptable living conditions, especially in colder parts of the world. Nowadays the heating medium is carried with the help of a pump. The first heating system with a pump was built in 1925. Back then, economical aspects were more likely overlooked. The paper reviews the calculation of the pipes’ friction factor, since it directly influences the energy consumption of pumps. Compared to the past, many things have changed: the price of energy, the expenses (and variety) of pipelines, and low-energy consumption pumps have been introduced. The question arises, whether the 50-200 Pa/m frictional pressure loss found in literature is in need a revision? The design of a system depends on a lot of things, considering we’d like to minimize the energy consumption of the pump, and the amount of money invested in pipelines. The paper reviews this method of optimalisation. As an attachment at the end, tables and diagrams present the results of the calculations.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33296">
    <w:multiLevelType w:val="hybridMultilevel"/>
    <w:lvl w:ilvl="0" w:tplc="85402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33296">
    <w:abstractNumId w:val="931332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073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