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JOHANNA LAURA MÁDI</w:t>
            </w:r>
          </w:p>
          <w:p w:rsidR="00C275A3" w:rsidRDefault="00A96AEC" w:rsidP="00C275A3">
            <w:pPr>
              <w:pStyle w:val="Hallgatokepzes"/>
            </w:pPr>
            <w:r>
              <w:t>Founding</w:t>
            </w:r>
            <w:r>
              <w:br/>
            </w:r>
            <w:r w:rsidR="00E77B23">
              <w:t>BSc, 7. semester</w:t>
            </w:r>
          </w:p>
          <w:p w:rsidR="00C265CE" w:rsidRPr="009E5FF1" w:rsidRDefault="00E77B23" w:rsidP="00C275A3">
            <w:pPr>
              <w:pStyle w:val="Hallgatokepzes"/>
              <w:rPr>
                <w:b/>
                <w:caps/>
              </w:rPr>
            </w:pPr>
            <w:r>
              <w:t>University of Miskolc</w:t>
            </w:r>
            <w:r w:rsidR="00C275A3">
              <w:br/>
            </w:r>
            <w:r w:rsidR="00DB4822">
              <w:t>Faculty of Materials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Jenő Dúl</w:t>
            </w:r>
          </w:p>
          <w:p w:rsidR="00DB4822" w:rsidRDefault="00DB4822" w:rsidP="00E11062">
            <w:pPr>
              <w:pStyle w:val="Konzulensek"/>
            </w:pPr>
            <w:r w:rsidRPr="00DB4822">
              <w:t>honorary professor, ME MAK</w:t>
            </w:r>
          </w:p>
        </w:tc>
      </w:tr>
      <w:tr w:rsidR="00DB4822" w:rsidTr="00DB4822">
        <w:tc>
          <w:tcPr>
            <w:tcW w:w="9854" w:type="dxa"/>
          </w:tcPr>
          <w:p w:rsidR="00DB4822" w:rsidRPr="00DB4822" w:rsidRDefault="00DB4822" w:rsidP="004D7940">
            <w:pPr>
              <w:pStyle w:val="Konzulensek"/>
            </w:pPr>
            <w:r w:rsidRPr="00DB4822">
              <w:t>Csaba Császár</w:t>
            </w:r>
          </w:p>
          <w:p w:rsidR="00DB4822" w:rsidRDefault="00DB4822" w:rsidP="00E11062">
            <w:pPr>
              <w:pStyle w:val="Konzulensek"/>
            </w:pPr>
            <w:r w:rsidRPr="00DB4822">
              <w:t>Product Engineer,  Nemak Győr ltd.</w:t>
            </w:r>
          </w:p>
        </w:tc>
      </w:tr>
      <w:tr w:rsidR="00DB4822" w:rsidTr="00DB4822">
        <w:tc>
          <w:tcPr>
            <w:tcW w:w="9854" w:type="dxa"/>
          </w:tcPr>
          <w:p w:rsidR="00DB4822" w:rsidRPr="00DB4822" w:rsidRDefault="00DB4822" w:rsidP="004D7940">
            <w:pPr>
              <w:pStyle w:val="Konzulensek"/>
            </w:pPr>
            <w:r w:rsidRPr="00DB4822">
              <w:t>Dr. György Fegyverneki</w:t>
            </w:r>
          </w:p>
          <w:p w:rsidR="00DB4822" w:rsidRDefault="00DB4822" w:rsidP="00E11062">
            <w:pPr>
              <w:pStyle w:val="Konzulensek"/>
            </w:pPr>
            <w:r w:rsidRPr="00DB4822">
              <w:t>product and process engineering lead,  Nemak Győr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Strength properties variation of resin bonded core materials affected by thermal load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research the effect of thermal stress on casting cores (a shaped body for forming casting grooves) are examined.</w:t>
      </w:r>
      <w:r>
        <w:rPr>
          <w:color w:val="000000"/>
          <w:sz w:val="24"/>
          <w:szCs w:val="24"/>
        </w:rPr>
        <w:br/>
        <w:t xml:space="preserve">The quality of castings is directly effect by the behavior of the cores: released gases, condensate resin and deformation tendency of the geometry. The definition of the appropriate binder system and the correct amount of the given components (resin, catalytic agent) is an elemental consequence.</w:t>
      </w:r>
      <w:r>
        <w:rPr>
          <w:color w:val="000000"/>
          <w:sz w:val="24"/>
          <w:szCs w:val="24"/>
        </w:rPr>
        <w:br/>
        <w:t xml:space="preserve">The target of this experiment is the optimization of core production, parameter definition and the comparison of different binder systems in case of given manufacturing process. Three fenol-binder system was examined using so called cold-box test specimen. As a result it is clear that there are no big differences using of the three binder system. The examination of the collapsibility characteristics can be done by bending strengths analysis on thermal loaded samples. It is defined that at 400°C temperature there is an afterhardening effect which is not occur in the temperature of 450°C. The deformation of the cores during the bending strengths was also examined by computer controlled displacement sensor. The preparation of the test specimens was done by a multi-cavity core blowing machine. The strengths of the given specimens depending of the position of the core in the multi-cavity die also detected and the middle position has the highest strengths. A new material testing process was also beta-tested: the so called compressive-wedge test. This analysis device is able to detect the binding force on the longitudinal axis of the test specimen and by the help of this the binding-force alteration can be detected. If we examine the specimen in the multi-cavity die the lower part of the test piece has rigid properties while the upper part has plastic properties. To explore this effect control volume computer simulation was run and this also exhibited a given afterhardening which can be the reason of the deviation of the values. As a result it can be defined that the position- and the lengths of the core-blowing has a provable effect on the strengths of the cores.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86305">
    <w:multiLevelType w:val="hybridMultilevel"/>
    <w:lvl w:ilvl="0" w:tplc="362118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86305">
    <w:abstractNumId w:val="362863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3457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