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CSÁTI</w:t>
            </w:r>
          </w:p>
          <w:p w:rsidR="00C275A3" w:rsidRDefault="00A96AEC" w:rsidP="00C275A3">
            <w:pPr>
              <w:pStyle w:val="Hallgatokepzes"/>
            </w:pPr>
            <w:r>
              <w:t>Mechanical Engineering</w:t>
            </w:r>
            <w:r>
              <w:br/>
            </w:r>
            <w:r w:rsidR="00E77B23">
              <w:t>MSc,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Vadászné Bognár</w:t>
            </w:r>
          </w:p>
          <w:p w:rsidR="00DB4822" w:rsidRDefault="00DB4822" w:rsidP="00E11062">
            <w:pPr>
              <w:pStyle w:val="Konzulensek"/>
            </w:pPr>
            <w:r w:rsidRPr="00DB4822">
              <w:t>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Spectral Method for Time-Dependent Convective Heat Transfer in Vorticity-Stream Function Formulation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deal with the numerical solution of the Navier-Stokes and Boussinesq equations. A two dimensional, stationary flow is investigated. Firstly, we swap from the primitive formalism to the vorticity-stream function one. The main disadvantage is that there is no boundary condition for the stream function while there are two for the vorticity. This difficulty is handled by the so-called influence matrix technique. Beginning with the strong form of the system of differential equations, first the equations are discretized in time and then in space. For the temporal discretization, a semi-implicit backward Euler and a semi-implicit Adams-Bashforth method are applied. The resulting semi-discrete equations are approximated by the tensor product of Chebyshev polynomials of the first kind. This type of numerical scheme provides a high-order approximation for smooth functions. The task is reduced to the solution of the Dirichlet-problem of the Helmholtz equation in each time step. The discretized linear system is solved by a direct method with full diagonalization. The discretization error is estimated from the magnitude of the spectral coefficients. The barycentric Lagrange interpolation is used to obtain the solution on the whole domain.</w:t>
      </w:r>
      <w:r>
        <w:rPr>
          <w:color w:val="000000"/>
          <w:sz w:val="24"/>
          <w:szCs w:val="24"/>
        </w:rPr>
        <w:br/>
        <w:t xml:space="preserve">The algorithm is carried out in MATLAB. Most of our MATLAB functions are vectorized and make use of BLAS to run on multiple threads. We also describe the role of the specific codes.</w:t>
      </w:r>
      <w:r>
        <w:rPr>
          <w:color w:val="000000"/>
          <w:sz w:val="24"/>
          <w:szCs w:val="24"/>
        </w:rPr>
        <w:br/>
        <w:t xml:space="preserve">Our program is tested on the typical benchmark problem, the lid-driven cavity problem and its regularized version.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54226">
    <w:multiLevelType w:val="hybridMultilevel"/>
    <w:lvl w:ilvl="0" w:tplc="95893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54226">
    <w:abstractNumId w:val="14254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433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