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MAKAI</w:t>
            </w:r>
          </w:p>
          <w:p w:rsidR="00C275A3" w:rsidRDefault="00A96AEC" w:rsidP="00C275A3">
            <w:pPr>
              <w:pStyle w:val="Hallgatokepzes"/>
            </w:pPr>
            <w:r>
              <w:t>computer engineer</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Ráth PhD</w:t>
            </w:r>
          </w:p>
          <w:p w:rsidR="00DB4822" w:rsidRDefault="00DB4822" w:rsidP="009763E0">
            <w:pPr>
              <w:pStyle w:val="Konzulensektitulus"/>
            </w:pPr>
            <w:r w:rsidRPr="00DB4822">
              <w:t>research fellow, BME VIK</w:t>
            </w:r>
          </w:p>
        </w:tc>
      </w:tr>
      <w:tr w:rsidR="00DB4822" w:rsidTr="00DB4822">
        <w:tc>
          <w:tcPr>
            <w:tcW w:w="9854" w:type="dxa"/>
          </w:tcPr>
          <w:p w:rsidR="00DB4822" w:rsidRPr="00DB4822" w:rsidRDefault="00DB4822" w:rsidP="009763E0">
            <w:pPr>
              <w:pStyle w:val="Konzulenseknev"/>
            </w:pPr>
            <w:r w:rsidRPr="00DB4822">
              <w:t>Ákos Horváth PhD</w:t>
            </w:r>
          </w:p>
          <w:p w:rsidR="00DB4822" w:rsidRDefault="00DB4822" w:rsidP="009763E0">
            <w:pPr>
              <w:pStyle w:val="Konzulensektitulus"/>
            </w:pPr>
            <w:r w:rsidRPr="00DB4822">
              <w:t>research fellow, BME VIK</w:t>
            </w:r>
          </w:p>
        </w:tc>
      </w:tr>
      <w:tr w:rsidR="00DB4822" w:rsidTr="00DB4822">
        <w:tc>
          <w:tcPr>
            <w:tcW w:w="9854" w:type="dxa"/>
          </w:tcPr>
          <w:p w:rsidR="00DB4822" w:rsidRPr="00DB4822" w:rsidRDefault="00DB4822" w:rsidP="009763E0">
            <w:pPr>
              <w:pStyle w:val="Konzulenseknev"/>
            </w:pPr>
            <w:r w:rsidRPr="00DB4822">
              <w:t>Gábor Szárnyas</w:t>
            </w:r>
          </w:p>
          <w:p w:rsidR="00DB4822" w:rsidRDefault="00DB4822" w:rsidP="009763E0">
            <w:pPr>
              <w:pStyle w:val="Konzulensektitulus"/>
            </w:pPr>
            <w:r w:rsidRPr="00DB4822">
              <w:t>PhD student,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incremental queries in the cloud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Database and model queries are the foundations of data-driven applications and query optimization is essential for their efficient evaluation. Fast model queries are of primary importance in the workflows of model-driven software engineering (MDE). As modelled systems are significantly increasing in complexity, big software models have already reached and in many cases exceeded 10-100 million model elements in size, therefore traditional MDE tools often encounter scalability issues because of the complexity of queries and transformations. These issues limit the efficiency of the development process.</w:t>
      </w:r>
    </w:p>
    <w:p>
      <w:pPr>
        <w:widowControl w:val="on"/>
        <w:pBdr/>
        <w:spacing w:before="240" w:after="240" w:line="240" w:lineRule="auto"/>
        <w:ind w:left="0" w:right="0"/>
        <w:jc w:val="left"/>
      </w:pPr>
      <w:r>
        <w:rPr>
          <w:color w:val="000000"/>
          <w:sz w:val="24"/>
          <w:szCs w:val="24"/>
        </w:rPr>
        <w:t xml:space="preserve">Distributed, cloud-based model query engines aim to solve the scalability issues. IncQuery-D is an incremental graph query framework which aims to provide scalable queries over large graph models and is developed by the Fault Tolerant Systems Research Group. However these systems require query optimization in order to evaluate queries efficiently. Query optimization in distributed environments brings new aspects and challenges – including the capacity limit of resources, network communication between computers and the cost of the infrastructure – compared to the traditional single workstation model and database query engines.</w:t>
      </w:r>
    </w:p>
    <w:p>
      <w:pPr>
        <w:widowControl w:val="on"/>
        <w:pBdr/>
        <w:spacing w:before="240" w:after="240" w:line="240" w:lineRule="auto"/>
        <w:ind w:left="0" w:right="0"/>
        <w:jc w:val="left"/>
      </w:pPr>
      <w:r>
        <w:rPr>
          <w:color w:val="000000"/>
          <w:sz w:val="24"/>
          <w:szCs w:val="24"/>
        </w:rPr>
        <w:t xml:space="preserve">In this report, we aim to address the challenges and provide a implementation in the IncQuery-D distributed model and graph query engine. These methods take account of the model size and consider the nature of the query to use heuristics. These heuristics are important in the allocation process of the computation nodes to the available resources in order to provide optimized query evaluation by different aspects.</w:t>
      </w:r>
    </w:p>
    <w:p>
      <w:pPr>
        <w:widowControl w:val="on"/>
        <w:pBdr/>
        <w:spacing w:before="240" w:after="240" w:line="240" w:lineRule="auto"/>
        <w:ind w:left="0" w:right="0"/>
        <w:jc w:val="left"/>
      </w:pPr>
      <w:r>
        <w:rPr>
          <w:color w:val="000000"/>
          <w:sz w:val="24"/>
          <w:szCs w:val="24"/>
        </w:rPr>
        <w:t xml:space="preserve">We wish to justify the impact of the optimization techniques on the query engine performance by measurements. These results can be viewed by the IncQuery-D monitoring system that we created for the query engine. Further achievement is that the monitoring system and the optimization facilities are fully integrated to the IncQuery-D's own development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33352">
    <w:multiLevelType w:val="hybridMultilevel"/>
    <w:lvl w:ilvl="0" w:tplc="99880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33352">
    <w:abstractNumId w:val="18733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889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