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BACSADI</w:t>
            </w:r>
          </w:p>
          <w:p w:rsidR="00C275A3" w:rsidRDefault="00A96AEC" w:rsidP="00C275A3">
            <w:pPr>
              <w:pStyle w:val="Hallgatokepzes"/>
            </w:pPr>
            <w:r>
              <w:t>Communication and Media Studies</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Katalin Orbán</w:t>
            </w:r>
          </w:p>
          <w:p w:rsidR="00DB4822" w:rsidRDefault="00DB4822" w:rsidP="009763E0">
            <w:pPr>
              <w:pStyle w:val="Konzulensektitulus"/>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Problems of Representation of the Holocaust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the functioning of the detective story narrative is analysed in a broad sense (especially the narrative of the so-called anti-detective story) in second generation holocaust representations in literature. The paper argues that trauma is an often hidden experience which is incompatible with traditional narratives and requires non-conventional, specific literary language. Detective story narrative can be assumed as a constituent of such language that can advance identification in receivers who haven’t experienced the trauma personally, thus helping them to understand the functioning of the traumatic experience. The paper presents the analysis of two specific second generation works from the viewpoint of the detective story narrative focusing on their functions and methods: Our Holocaust by Amir Gutfreund and Maus by Art Spiegelman.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27914">
    <w:multiLevelType w:val="hybridMultilevel"/>
    <w:lvl w:ilvl="0" w:tplc="438939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27914">
    <w:abstractNumId w:val="135279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64168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