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ZSUZSANNA DEDÁK</w:t>
            </w:r>
          </w:p>
          <w:p w:rsidR="00C275A3" w:rsidRDefault="00A96AEC" w:rsidP="00C275A3">
            <w:pPr>
              <w:pStyle w:val="Hallgatokepzes"/>
            </w:pPr>
            <w:r>
              <w:t>Nature Conservation Engineering</w:t>
            </w:r>
            <w:r>
              <w:br/>
            </w:r>
            <w:r w:rsidR="00E77B23">
              <w:t>BSc, 7.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Ákos Malatinszky</w:t>
            </w:r>
          </w:p>
          <w:p w:rsidR="00DB4822" w:rsidRDefault="00DB4822" w:rsidP="009763E0">
            <w:pPr>
              <w:pStyle w:val="Konzulensektitulus"/>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Studies on landscape changes and botanical values of vineyards in the Cserhát Hills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Abandoned vineyards were studied on outskirts of five villages in Cserhát Hills: Kisbárkány, Lucfalva, Mátraverebély, Sámsonháza and north part of Tar.</w:t>
      </w:r>
      <w:r>
        <w:rPr>
          <w:color w:val="000000"/>
          <w:sz w:val="24"/>
          <w:szCs w:val="24"/>
        </w:rPr>
        <w:br/>
        <w:t xml:space="preserve">I have selected ten sample areas – primarily based on historical maps and other archival data – from these villages, where was vine cultivation throughout history, but today these are fully abandoned, so the onetime parcels are in various stages of succession currently. During research of the landscape changes I processed the data of the areas from detailed cadastral maps and archive aerial photos, using GIS methods and related textual sources, thus I obtained a comparable and quantifiable data of the changes on the sample areas. The results were illustrated on thematic maps, and the changes were analyzed in connection of the history of grape growing in Carpathian basin and Nógrád county.</w:t>
      </w:r>
      <w:r>
        <w:rPr>
          <w:color w:val="000000"/>
          <w:sz w:val="24"/>
          <w:szCs w:val="24"/>
        </w:rPr>
        <w:br/>
        <w:t xml:space="preserve">Beside the examination of the current state of the sample areas I strived to explore the botanical values and risk factors. During my studies 26 protected taxa (Adonis vernalis, Aster amellus, Asyneuma canescens, Centaurea scabiosa subsp. sadleriana, Cephalanthera damasonium, C. longifolia, C. rubra, Epipactis atrorubens, E. latina, E. microphylla, Erysimum odoratum, Gentiana cruciata, Hesperis sylvestris, Linum hirsutum, L. tenuifolium, Neottia nidus-avis, Orchis × hybrida, O. militaris, O. purpurea, Ornithogalum brevistylum, Polygala major, Sorbus domestica, Stipa pennata, S. pulcherrima, S. tirsa, Trinia ramosissima) were documented on the sample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73442">
    <w:multiLevelType w:val="hybridMultilevel"/>
    <w:lvl w:ilvl="0" w:tplc="15322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73442">
    <w:abstractNumId w:val="25373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693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