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KELLER NORBERT</w:t>
            </w:r>
          </w:p>
          <w:p w:rsidR="00C275A3" w:rsidRDefault="00A96AEC" w:rsidP="00C275A3">
            <w:pPr>
              <w:pStyle w:val="Hallgatokepzes"/>
            </w:pPr>
            <w:r>
              <w:t>Vadgazda-mérnök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Szemethy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Ujhegyi Nikolett 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agrár-környezetgazdálkodási programok mezei nyúl (Lepus europaeus) állományra gyakorolt hatásának előzetes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mezei nyúl Magyarország egyik legjelentősebb apróvadfaja, gazdasági jelentőségét jól mutatja, hogy intenzív vadászata mellett jelentős az élővad-befogás és a faj exportja is. Mindemellett a mezei nyúl állománya az elmúlt évtizedekben jelentősen csökkent mind ország-, mind Európa-szerte. Az állománycsökkenés okaiként a ragadozófajok állománynövekedésén (vörös róka (Vulpes vulpes), aranysakál (Canis aureus) stb.) túl, jellemzően antropogén hatások kerülnek megemlítésre, elsődlegesen a mezőgazdaság intenzifikálódása (élőhely-vesztés (területben és diverzitásban), -fragmentálódás, túlzott kemikáliahasználat, nagytáblás-, monokultúrás gazdálkodás) tehető felelőssé.</w:t>
      </w:r>
      <w:r>
        <w:rPr>
          <w:color w:val="000000"/>
          <w:sz w:val="24"/>
          <w:szCs w:val="24"/>
        </w:rPr>
        <w:br/>
        <w:t xml:space="preserve">Az intenzív mezőgazdaság eme negatív hatásainak, valamint a biodiverzitás csökkenésének mérséklése érdekében a 90-es évek eleje óta egyre több európai uniós tagországban indítanak különféle, célzott agrár-környezetgazdálkodási programcsoportokat (AKG) változó eredménnyel. Magyarországon az Új Magyarország Vidékfejlesztési Program II. tengelyeként indult el 2009-ben az AKG támogatási rendszer, melynek célja a környezetterhelés csökkentése, a fenntartható tájhasználat kialakítása.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céljai között szerepel az AKG és a mezei nyúl állományváltozása közötti kapcsolat első elemzése. A kiinduló hipotézis az, hogy amennyiben a támogatási rendszer tényleges pozitív hatással bír, úgy az AKG rendszerben résztvevő területek arányának növekedésével a mezei nyúl állományának is pozitív tendenciát kellene mutatnia. Ezen kérdéskör elemzéséhez 482 vadgazdálkodási egység (VGE) adatai kerültek felhasználásra (az összes, itt található AKG terület, valamint az AKG szántó- ill. gyepterületeinek a VGE területéhez viszonyított aránya, a vadgazdálkodók által jelentett éves teríték és állománybecslési adatok).</w:t>
      </w:r>
      <w:r>
        <w:rPr>
          <w:color w:val="000000"/>
          <w:sz w:val="24"/>
          <w:szCs w:val="24"/>
        </w:rPr>
        <w:br/>
        <w:t xml:space="preserve">Az előzetes várakozásokkal ellentétben a növekvő AKG területarány (mind összesítve, mind külön-külön szántó ill. gyep kategóriákban) rendkívül gyenge kapcsolatot mutatott a különböző VGE-k teríték- és állománybecslési adataival. Az eredményekből nem lehet egyértelműen eldönteni az AKG hatásosságát. A további vizsgálatnál figyelembe kell venni a kezelt és kezeletlen terület arányát, a területek közti különbségeket és a vadgazdálkodók adatainak megbízhatóságát is. Ezekre az elemzésekre a Nemzeti Élelmiszerlánc-biztonsági Hivatal (NÉBIH) megbízásából, a Vadvilág Megőrzési Intézet (VMI) által kivitelezett monitoring második, elemző szakaszában lesz lehetőség.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81391">
    <w:multiLevelType w:val="hybridMultilevel"/>
    <w:lvl w:ilvl="0" w:tplc="15408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81391">
    <w:abstractNumId w:val="281813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583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