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RUNG</w:t>
            </w:r>
          </w:p>
          <w:p w:rsidR="00C275A3" w:rsidRDefault="00A96AEC" w:rsidP="00C275A3">
            <w:pPr>
              <w:pStyle w:val="Hallgatokepzes"/>
            </w:pPr>
            <w:r>
              <w:t>Wildlife Conservation and Management</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Heltai</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the Spring and Early Summer Diet of Hooded Crows (Corvus corone cornix) in the Kiskunság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It is a widely held opinion of both wildlife management and conservationists in Hungary that the predatory diet of the hooded crow does significant harm to small game and certain protected species of birds. However, research into the field has been quite insufficient, and the few (usually dated) results available are contrary to this belief. This contrast led to our investigation. Do hooded crows in fact consume the species in question to an extent that does matter to wildlife management or natural conservation?</w:t>
      </w:r>
      <w:r>
        <w:rPr>
          <w:color w:val="000000"/>
          <w:sz w:val="24"/>
          <w:szCs w:val="24"/>
        </w:rPr>
        <w:br/>
        <w:t xml:space="preserve">During our survey, we examined the gizzards of 82 specimens, assorting the contents without soaking. The various constituents were then identified macroscopically and both the percentage of their incidence and the mass percentage compared to the whole content were calculated. The diversity of the birds’ diet was also examined, as were the difference between the diet of adults and squabs, and the difference between the diets of birds collected in different months.</w:t>
      </w:r>
      <w:r>
        <w:rPr>
          <w:color w:val="000000"/>
          <w:sz w:val="24"/>
          <w:szCs w:val="24"/>
        </w:rPr>
        <w:br/>
        <w:t xml:space="preserve">Both percentages of incidence and mass show the prominence of animals in the crows’ diet as opposed to plants, and especially the importance of arthropods. However, adults consumed more vegetal food than squabs, and those in turn ate more animal food than the adults. The adult specimens collected in April and May showed a different diet than those bagged in June: the former consumed more animal food than the latter, in which fruits show an increased incidence. Though in the whole spectrum of samples a lot of different constituents could be isolated, the individual specimens show a lot less diversity.</w:t>
      </w:r>
      <w:r>
        <w:rPr>
          <w:color w:val="000000"/>
          <w:sz w:val="24"/>
          <w:szCs w:val="24"/>
        </w:rPr>
        <w:br/>
        <w:t xml:space="preserve">Our results thus are very much in harmony with those of the previous surveys in refuting the usual beliefs of wildlife managers. This suggests a reassessment of the species – but as our examination proves, from a general point of view, only their high demand of animal protein and their extreme resilience, we also suggest further similar surveys under different temporal and local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71886">
    <w:multiLevelType w:val="hybridMultilevel"/>
    <w:lvl w:ilvl="0" w:tplc="86998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71886">
    <w:abstractNumId w:val="282718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865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