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DINNYÉS PATRIK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Gebei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 nagyhatalmiság a 18. század elején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Témaválasztásunk legfőbb oka, hogy az eddigi tanulmányaink során gyakran használt egyetemi tankönyv, a Poór János szerkesztésében és az Osiris Kiadó gondozásában 2009-ben megjelent Kora újkor története – bár külön tárgykört szán a vizsgált időszak háborúinak („Háborúk, polgárháborúk, forradalmak”) – nem tesz említést a nagy északi háborúról (1700–1721). Véleményünk szerint ugyanakkor Oroszország nagyhatalmi státuszát éppen ennek a háborúnak köszönheti a 18. század elejétől kezdődően egészen napjainkig. Noha a könyv a kora újkor egyetemes történetét tárgyalja, más fejezetet sem szán Oroszországnak, holott az egyetemeken előszeretettel használt tankönyv ezeknek is külön tárgykört szentel („Birodalmak, államok, tartományok”). Annak ellenére a mulasztás, hogy éppen ezen időszaktól beszélhetünk tényleges Orosz Birodalomról, hiszen 1721-től az orosz cár felvette az imperator címet, amelyet rövid időn belül a nemzetközi diplomácia jelentős szereplői is elismertek. Természetesen felmerülhet a kérdés, hogy a birodalom elnevezés használatára elegendő-e egy adott ország uralkodójának a „császári” cím felvétele? Úgy gondoljuk, hogy nem, viszont Oroszország esetében közel sem csak erről van szó.</w:t>
      </w:r>
      <w:r>
        <w:rPr>
          <w:color w:val="000000"/>
          <w:sz w:val="24"/>
          <w:szCs w:val="24"/>
        </w:rPr>
        <w:br/>
        <w:t xml:space="preserve">Oroszország Európába való megjelenésének két típusát kell, hogy megkülönböztessük: betörés és belépés. Úgy gondoljuk, hogy ezen szavak használata segít az olvasóval kellőképpen érzékeltetni a különbségeket. Előbbi esetén a dolgozatunk által is tárgyalt nagy északi háborúra kell gondolnunk (amely egyébként az északi háborúk sorában csak a 18. században volt az első), míg a belépés I. Péter orosz cár européer tevékenységére vonatkozik a kultúra és a gazdaság terén. Ez utóbbit dolgozatunk célja és terjedelme miatt most nem részletezzük.</w:t>
      </w:r>
      <w:r>
        <w:rPr>
          <w:color w:val="000000"/>
          <w:sz w:val="24"/>
          <w:szCs w:val="24"/>
        </w:rPr>
        <w:br/>
        <w:t xml:space="preserve">Jelen dolgozatunkkal az első lépést kívánjuk megtenni a kérdés eldöntéséhez, amelynek a végén azon hipotézisünk áll, hogy Oroszország ebben az időszakban lépte át azt a küszöböt, amely elválasztja a regionális hatalmat a nagyhatalomtól, a perifériát a centrumtól.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68372">
    <w:multiLevelType w:val="hybridMultilevel"/>
    <w:lvl w:ilvl="0" w:tplc="44951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68372">
    <w:abstractNumId w:val="509683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059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