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MOLNÁR</w:t>
            </w:r>
          </w:p>
          <w:p w:rsidR="00C275A3" w:rsidRDefault="00A96AEC" w:rsidP="00C275A3">
            <w:pPr>
              <w:pStyle w:val="Hallgatokepzes"/>
            </w:pPr>
            <w:r>
              <w:t>History</w:t>
            </w:r>
            <w:r>
              <w:br/>
            </w:r>
            <w:r w:rsidR="00E77B23">
              <w:t>MA, 1.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Antal Miskei PhD.</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Jan Jiskra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essay is a quite engaging, fascinating but also a hardly approachable person of the middle ages, who was born in the Czech Republic, named Jan Jiskra z Brandýsa ( around 1400-1469). Right away we have difficulties in trying to use his name properly because the more languages exist, the more possibilities there are in pronunciation. In Czech language we say Jan Jiskra, in Hungarian he is called Jiskra János or Giskra János, and in German they call him Johann Giskra von Brandeis.</w:t>
      </w:r>
    </w:p>
    <w:p>
      <w:pPr>
        <w:widowControl w:val="on"/>
        <w:pBdr/>
        <w:spacing w:before="240" w:after="240" w:line="240" w:lineRule="auto"/>
        <w:ind w:left="0" w:right="0"/>
        <w:jc w:val="left"/>
      </w:pPr>
      <w:r>
        <w:rPr>
          <w:color w:val="000000"/>
          <w:sz w:val="24"/>
          <w:szCs w:val="24"/>
        </w:rPr>
        <w:t xml:space="preserve">Jiskra was a catholic, professional soldier, a leader of mercenaries who fought for money. In spite of other leaders of mercenaries, we can say about him that loyalty was a great virtue of his. By the other hand, his loyalty was difficult to obtain, therefore only some of the rulers succeeded in getting it. He was said to be an excellent soldier, leader, comrade and diplomat.</w:t>
      </w:r>
    </w:p>
    <w:p>
      <w:pPr>
        <w:widowControl w:val="on"/>
        <w:pBdr/>
        <w:spacing w:before="240" w:after="240" w:line="240" w:lineRule="auto"/>
        <w:ind w:left="0" w:right="0"/>
        <w:jc w:val="left"/>
      </w:pPr>
      <w:r>
        <w:rPr>
          <w:color w:val="000000"/>
          <w:sz w:val="24"/>
          <w:szCs w:val="24"/>
        </w:rPr>
        <w:t xml:space="preserve">Unfortunately, his personality, his knowledge and his military preparedness, neither now and nor earlier was treated properly. The huge interest toward the Hunyadis has overshadowed him. That is one of the reasons why I chose him as my topic and decided to learn more about him. So with the help of the resources and my knowledge I would like to present this outstanding general in this paper.</w:t>
      </w:r>
    </w:p>
    <w:p>
      <w:pPr>
        <w:widowControl w:val="on"/>
        <w:pBdr/>
        <w:spacing w:before="240" w:after="240" w:line="240" w:lineRule="auto"/>
        <w:ind w:left="0" w:right="0"/>
        <w:jc w:val="left"/>
      </w:pPr>
      <w:r>
        <w:rPr>
          <w:color w:val="000000"/>
          <w:sz w:val="24"/>
          <w:szCs w:val="24"/>
        </w:rPr>
        <w:t xml:space="preserve">In my entry, I would like to familiarize Jiskra, based on extant resources and main literature, from the beginning of his arrival to the Hungarian Kingdom, until his unclear death. I would like to show the significant moments of his life in more details, because this magnificent soldier deserves more attention than he gets.</w:t>
      </w:r>
    </w:p>
    <w:p>
      <w:pPr>
        <w:widowControl w:val="on"/>
        <w:pBdr/>
        <w:spacing w:before="240" w:after="240" w:line="240" w:lineRule="auto"/>
        <w:ind w:left="0" w:right="0"/>
        <w:jc w:val="left"/>
      </w:pPr>
      <w:r>
        <w:rPr>
          <w:color w:val="000000"/>
          <w:sz w:val="24"/>
          <w:szCs w:val="24"/>
        </w:rPr>
        <w:t xml:space="preserve">For some parts, I translated Latin to Hungarian from the biographical writings of Aeneas Silvio de Piccolomini, also known as Pope Pius II., or from the remaining certificates of the time which he spent in the Hungarian Kingdom, and I used it to create my entry.</w:t>
      </w:r>
    </w:p>
    <w:p>
      <w:pPr>
        <w:widowControl w:val="on"/>
        <w:pBdr/>
        <w:spacing w:before="240" w:after="240" w:line="240" w:lineRule="auto"/>
        <w:ind w:left="0" w:right="0"/>
        <w:jc w:val="left"/>
      </w:pPr>
      <w:r>
        <w:rPr>
          <w:color w:val="000000"/>
          <w:sz w:val="24"/>
          <w:szCs w:val="24"/>
        </w:rPr>
        <w:t xml:space="preserve">This writing of mine with several pages is still not finished, more and more question needs to be answered, and I would like to find these answers with continuous and hard work. In the future I’m emphasizing Jiskra’s relationship with the mining towns, his family background and I would like to clarify his last years.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34604">
    <w:multiLevelType w:val="hybridMultilevel"/>
    <w:lvl w:ilvl="0" w:tplc="24146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34604">
    <w:abstractNumId w:val="781346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11285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