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EMESE BABINSZKI</w:t>
            </w:r>
          </w:p>
          <w:p w:rsidR="00C275A3" w:rsidRDefault="00A96AEC" w:rsidP="00C275A3">
            <w:pPr>
              <w:pStyle w:val="Hallgatokepzes"/>
            </w:pPr>
            <w:r>
              <w:t>Psychology</w:t>
            </w:r>
            <w:r>
              <w:br/>
            </w:r>
            <w:r w:rsidR="00E77B23">
              <w:t>MA,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Katalin Balázs 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subcategories of humorous advertisements and their indirect effectiveness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The aim of the presented study is to separate subcategories of humorous advertisements empirically and to reveal their main features.</w:t>
      </w:r>
      <w:r>
        <w:rPr>
          <w:color w:val="000000"/>
          <w:sz w:val="24"/>
          <w:szCs w:val="24"/>
        </w:rPr>
        <w:br/>
        <w:t xml:space="preserve">   The theoretical backgrounds are the observations about the advertisement categories (Goldenberg, Mazursky &amp; Solomon, 1999; Goldenberg, Mazursky, 2008; McQuarrie &amp; Mick, 2003) and previous typologies of humorous advertisements (for example Kelly &amp; Solomon, 1975; Weinberger &amp; Gulas, 1992). Qualitative pilot studies focusing on laymen’s opinions (interviews and focus groups) were important steps in the development of the category system. Furthermore, another pilot study, applying a questionnaire supported the selection of the stimuli of the main study. The aim of the main study was to test the category system (5 content x 2 structural categories), based on the laymen’s opinions and the theoretical background, empirically and to reveal the features of the given categories in details.</w:t>
      </w:r>
      <w:r>
        <w:rPr>
          <w:color w:val="000000"/>
          <w:sz w:val="24"/>
          <w:szCs w:val="24"/>
        </w:rPr>
        <w:br/>
        <w:t xml:space="preserve">   In the main study, 138, mostly young adult participants evaluated 17 advertisements on 13 aspects (missing values occurred). Furthermore, with a memory recall task, the advertisements’ effectiveness was examined indirectly. As a result of the hierarchical cluster analysis of the advertisement evaluations, the original category system was needed to be changed at several points. The four well-differentiated categories are: the overstatement; the taboo violating; the cute; and the youthful, stylish categories. Besides these, a neutral or not humorous control category was separated.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23652">
    <w:multiLevelType w:val="hybridMultilevel"/>
    <w:lvl w:ilvl="0" w:tplc="44250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23652">
    <w:abstractNumId w:val="83723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9930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