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LADÁNYI</w:t>
            </w:r>
          </w:p>
          <w:p w:rsidR="00C275A3" w:rsidRDefault="00A96AEC" w:rsidP="00C275A3">
            <w:pPr>
              <w:pStyle w:val="Hallgatokepzes"/>
            </w:pPr>
            <w:r>
              <w:t>Business Development</w:t>
            </w:r>
            <w:r>
              <w:br/>
            </w:r>
            <w:r w:rsidR="00E77B23">
              <w:t>MSc, 4.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László Szőllősi PhD</w:t>
            </w:r>
          </w:p>
          <w:p w:rsidR="00DB4822" w:rsidRDefault="00DB4822" w:rsidP="00BA6BAF">
            <w:pPr>
              <w:pStyle w:val="Konzulensektitulus"/>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consumer and customer behaviour related to craftsman confectionery products in Hungary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craftsman confectionery, consumption habits, purchase habits, questionnaire interview</w:t>
      </w:r>
      <w:r>
        <w:t xml:space="preserve"/>
      </w:r>
    </w:p>
    <w:p>
      <w:pPr>
        <w:widowControl w:val="on"/>
        <w:pBdr/>
        <w:spacing w:before="240" w:after="240" w:line="240" w:lineRule="auto"/>
        <w:ind w:left="0" w:right="0"/>
        <w:jc w:val="left"/>
      </w:pPr>
      <w:r>
        <w:rPr>
          <w:color w:val="000000"/>
          <w:sz w:val="24"/>
          <w:szCs w:val="24"/>
        </w:rPr>
        <w:t xml:space="preserve">Domestic confectionery has been subject to many changes in the recent decades. The global economic crisis in 2008 has completely transformed the industry burdened by problems already. Since the global economic crisis spillover, confectioners have faced more and more difficulties, such as the qualification of professionals, raw material usage, artificial materials and semi-finished products having got placed right at the forefront, black economy and the expansion of multinational companies. Various changes have been identified on the consumer side as well. Habits have been altered by the effects of the economic crisis, and at the same time, with the appearance of the conscious ”new consumer” concept, entailing the promotion of healthy lifestyle and diet, food consumer behaviours have started to transform.</w:t>
      </w:r>
      <w:r>
        <w:rPr>
          <w:color w:val="000000"/>
          <w:sz w:val="24"/>
          <w:szCs w:val="24"/>
        </w:rPr>
        <w:br/>
        <w:t xml:space="preserve">My objective was to analyse Hungarian consumer and customer habits relating to confectionery products, and their factors of influence in Hungary. I aimed to provide an overall picture of the major consumer and customer needs and preferences, to make it a constructive basis for later professional use.</w:t>
      </w:r>
      <w:r>
        <w:rPr>
          <w:color w:val="000000"/>
          <w:sz w:val="24"/>
          <w:szCs w:val="24"/>
        </w:rPr>
        <w:br/>
        <w:t xml:space="preserve">During my research, I performed both primary and secondary data acquisition. Firstly, I studied the international literature. Secondly, I conducted online and personal interview surveys. The size of the sample was 538 respondents. Having compared the results with KSH data available, my research has turned out not to be representative: It rather serves as a guideline for future investigations. The first step of the analysis was to apply descriptive statistical methods, then I used non-parametric methods.</w:t>
      </w:r>
      <w:r>
        <w:rPr>
          <w:color w:val="000000"/>
          <w:sz w:val="24"/>
          <w:szCs w:val="24"/>
        </w:rPr>
        <w:br/>
        <w:t xml:space="preserve">The majority of the respondents turned out to consume and purchase confectionery products. Most of them were looking for quality products, and they were even willing to spend more money to acquire them. The most important aspect detected was raw material utilization: What raw materials were used to make the products. Conversely, the price proved less dominant. Consumers purchased products mostly from confectioneries, which they visited for relaxation, a pleasant atmosphere, and to buy unique, fine pastries. The biggest differences were identified during the comparison of the individual qualification and income categories, based on the responses.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52297">
    <w:multiLevelType w:val="hybridMultilevel"/>
    <w:lvl w:ilvl="0" w:tplc="12789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52297">
    <w:abstractNumId w:val="379522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406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