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PINTYE</w:t>
            </w:r>
          </w:p>
          <w:p w:rsidR="00C275A3" w:rsidRDefault="00A96AEC" w:rsidP="00C275A3">
            <w:pPr>
              <w:pStyle w:val="Hallgatokepzes"/>
            </w:pPr>
            <w:r>
              <w:t>Business administration and management</w:t>
            </w:r>
            <w:r>
              <w:br/>
            </w:r>
            <w:r w:rsidR="00E77B23">
              <w:t>BA, 7. semester</w:t>
            </w:r>
          </w:p>
          <w:p w:rsidR="00C265CE" w:rsidRPr="009E5FF1" w:rsidRDefault="00E77B23" w:rsidP="00BA6BAF">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Marietta Kiss</w:t>
            </w:r>
          </w:p>
          <w:p w:rsidR="00DB4822" w:rsidRDefault="00DB4822" w:rsidP="00BA6BAF">
            <w:pPr>
              <w:pStyle w:val="Konzulensektitulus"/>
            </w:pPr>
            <w:r w:rsidRPr="00DB4822">
              <w:t>assistant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Literacy of Young People - Does Economic Education Matter?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literacy; savings; bank marketing; segmentation</w:t>
      </w:r>
      <w:r>
        <w:t xml:space="preserve"/>
      </w:r>
    </w:p>
    <w:p>
      <w:pPr>
        <w:widowControl w:val="on"/>
        <w:pBdr/>
        <w:spacing w:before="240" w:after="240" w:line="240" w:lineRule="auto"/>
        <w:ind w:left="0" w:right="0"/>
        <w:jc w:val="left"/>
      </w:pPr>
      <w:r>
        <w:rPr>
          <w:color w:val="000000"/>
          <w:sz w:val="24"/>
          <w:szCs w:val="24"/>
        </w:rPr>
        <w:t xml:space="preserve">The only benefit of the financial crisis of 2008 is that it directed attention to the low level of citizens’ financial literacy all over the world and called for improvement in this field. Research into financial literacy often focuses on the young because of their increasing role to ensure that at least their financial literacy is at a high enough level to avoid the recurrence of financial downturns like the one in 2008 in the future.</w:t>
      </w:r>
      <w:r>
        <w:rPr>
          <w:color w:val="000000"/>
          <w:sz w:val="24"/>
          <w:szCs w:val="24"/>
        </w:rPr>
        <w:br/>
        <w:t xml:space="preserve">For this reason the aim of my paper is to examine and characterise the financial literacy of full time senior BA students at the Faculty of Economics of the local university, as well as to compare it to the financial literacy of ‘ordinary’ young people without any economic education.</w:t>
      </w:r>
      <w:r>
        <w:rPr>
          <w:color w:val="000000"/>
          <w:sz w:val="24"/>
          <w:szCs w:val="24"/>
        </w:rPr>
        <w:br/>
        <w:t xml:space="preserve">The methods of my research included a secondary collection of data and a primary research questionnaire based on the three components of financial literacy used by OECD: financial knowledge, financial behaviour and financial preferences and attitudes. My research results reveal just a slight difference between the financial literacy of the two groups, as well as a shocking lack of knowledge among ’wanna be economists’ concerning key financial terms like the Annual Percentage Rate or the Investor Protection Fund.</w:t>
      </w:r>
      <w:r>
        <w:rPr>
          <w:color w:val="000000"/>
          <w:sz w:val="24"/>
          <w:szCs w:val="24"/>
        </w:rPr>
        <w:br/>
        <w:t xml:space="preserve">Based on the careful observation of crosstabs and one-sample t-tests I have identified only one area of behaviour where students of economics demonstrate more conscience. They gather more information before purchasing a financial product. However, they have the same attitudes as their ‘ordinary’ counterparts when it comes to choosing a bank, or saving and credit facilities.</w:t>
      </w:r>
      <w:r>
        <w:rPr>
          <w:color w:val="000000"/>
          <w:sz w:val="24"/>
          <w:szCs w:val="24"/>
        </w:rPr>
        <w:br/>
        <w:t xml:space="preserve">I measured the financial attitudes of the two groups with three-scaled statements on their willingness to saving money. My findings show an above-average financial attitude of economic students, while their financial behaviour concerning savings tends to follow a contradictory pattern. As a conclusion, financial literacy development programmes should focus on this component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84345">
    <w:multiLevelType w:val="hybridMultilevel"/>
    <w:lvl w:ilvl="0" w:tplc="33821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84345">
    <w:abstractNumId w:val="753843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104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