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MUKICS</w:t>
            </w:r>
          </w:p>
          <w:p w:rsidR="00C275A3" w:rsidRDefault="00A96AEC" w:rsidP="00C275A3">
            <w:pPr>
              <w:pStyle w:val="Hallgatokepzes"/>
            </w:pPr>
            <w:r>
              <w:t>International Relations</w:t>
            </w:r>
            <w:r>
              <w:br/>
            </w:r>
            <w:r w:rsidR="00E77B23">
              <w:t>MA, 3. semester</w:t>
            </w:r>
          </w:p>
          <w:p w:rsidR="00C265CE" w:rsidRPr="009E5FF1" w:rsidRDefault="00E77B23" w:rsidP="00C275A3">
            <w:pPr>
              <w:pStyle w:val="Hallgatokepzes"/>
              <w:rPr>
                <w:b/>
                <w:caps/>
              </w:rPr>
            </w:pPr>
            <w:r>
              <w:t>Corvinus University of Budapest</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Marton</w:t>
            </w:r>
          </w:p>
          <w:p w:rsidR="00DB4822" w:rsidRDefault="00DB4822" w:rsidP="00E11062">
            <w:pPr>
              <w:pStyle w:val="Konzulensek"/>
            </w:pPr>
            <w:r w:rsidRPr="00DB4822">
              <w:t>assistant professor,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Analogical reasoning about cyberspace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essay investigates the predominant forms of analogical reasoning within current cyber-security discourse. Our purpose is to underline the power of these analogies and metaphors in influencing our thinking and more broadly the process of decision-making. The essay aims to clarify the unstated premises, major strengths and possible weaknesses of these often misused analogies. In confirming the hypothesis that the expansion of cyberspace has not changed drastically the distribution of power among states, we argue that it did play a crucial role in transforming non-state entities into strategic actors. The essay argues that there is a need for shifting the focus of strategic thinking. Beside the traditional state-to-state interactions, there is an urgent call to put more effort into exploring the various connections and the interplay between society and cyberspace.</w:t>
      </w:r>
    </w:p>
    <w:p>
      <w:pPr>
        <w:widowControl w:val="on"/>
        <w:pBdr/>
        <w:spacing w:before="240" w:after="240" w:line="240" w:lineRule="auto"/>
        <w:ind w:left="0" w:right="0"/>
        <w:jc w:val="left"/>
      </w:pPr>
      <w:r>
        <w:rPr>
          <w:color w:val="000000"/>
          <w:sz w:val="24"/>
          <w:szCs w:val="24"/>
        </w:rPr>
        <w:br/>
        <w:t xml:space="preserve">In order to provide the necessary attention to non-traditional strategic actors within the cyber-security discourse, the essay argues to expand the definition of cyberspace. In our view, the users of cyberspace – besides the physical, syntactic and semantic layers – should constitute an integral part of the definition. This societal approach makes it possible to explore the interrelations between society and cyberspace.</w:t>
      </w:r>
      <w:r>
        <w:rPr>
          <w:color w:val="000000"/>
          <w:sz w:val="24"/>
          <w:szCs w:val="24"/>
        </w:rPr>
        <w:br/>
        <w:br/>
        <w:t xml:space="preserve">The essay through the investigation of analogies and metaphors underpins the importance of expanding the definition. The first chapter surveys several parallels which intentionally or unintentionally contribute to the securitization and over-securitization of cyberspace. The chapter critically looks at the negative consequences of over-securitization. The second chapter draws a comparison between the nature of cyberpower and the concepts of air power, sea power, land power and nuclear power. We argue that the usefulness of these analogies is limited and standing alone they cannot provide a comprehensive understanding of cyberspace. In chapter 3 and 4 we move on to the lessons offered by the ’global commons’ analogy and the virus analogy. The last chapter depicts cyberspace as space. In this concluding chapter we explore the space-metaphor in detail and argue that understanding the cyberspace as space helps us to connect this little-understood domain to the physical and societal realities.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896740">
    <w:multiLevelType w:val="hybridMultilevel"/>
    <w:lvl w:ilvl="0" w:tplc="342012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896740">
    <w:abstractNumId w:val="798967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56495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