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RONYECZ</w:t>
            </w:r>
          </w:p>
          <w:p w:rsidR="00C275A3" w:rsidRDefault="00A96AEC" w:rsidP="00C275A3">
            <w:pPr>
              <w:pStyle w:val="Hallgatokepzes"/>
            </w:pPr>
            <w:r>
              <w:t>Defense Administration </w:t>
            </w:r>
            <w:r>
              <w:br/>
            </w:r>
            <w:r w:rsidR="00E77B23">
              <w:t>MSc, 3.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Gyula Vass </w:t>
            </w:r>
          </w:p>
          <w:p w:rsidR="00DB4822" w:rsidRDefault="00DB4822" w:rsidP="00E11062">
            <w:pPr>
              <w:pStyle w:val="Konzulensek"/>
            </w:pPr>
            <w:r w:rsidRPr="00DB4822">
              <w:t>associate professor , NKE HHK</w:t>
            </w:r>
          </w:p>
        </w:tc>
      </w:tr>
      <w:tr w:rsidR="00DB4822" w:rsidTr="00DB4822">
        <w:tc>
          <w:tcPr>
            <w:tcW w:w="9854" w:type="dxa"/>
          </w:tcPr>
          <w:p w:rsidR="00DB4822" w:rsidRPr="00DB4822" w:rsidRDefault="00DB4822" w:rsidP="004D7940">
            <w:pPr>
              <w:pStyle w:val="Konzulensek"/>
            </w:pPr>
            <w:r w:rsidRPr="00DB4822">
              <w:t>Dr. Lajos Kátai-Urbán </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Risks in connection with hazardous plants and the use of the consequence-analysing implements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it is inevitable to pay attention to the safety document of the plant dealing with dangerous goods which guarantees that the dangers in connection with the serious accident are identyfied, and it’s risks of the the seriuos accidents are already analysed and rated.</w:t>
      </w:r>
      <w:r>
        <w:rPr>
          <w:color w:val="000000"/>
          <w:sz w:val="24"/>
          <w:szCs w:val="24"/>
        </w:rPr>
        <w:br/>
        <w:t xml:space="preserve">The risk- and consequence-analysis’ examine the hazardous plant’s and facility’s dangerous good emission, and it’s consequences and affects.</w:t>
      </w:r>
      <w:r>
        <w:rPr>
          <w:color w:val="000000"/>
          <w:sz w:val="24"/>
          <w:szCs w:val="24"/>
        </w:rPr>
        <w:br/>
        <w:t xml:space="preserve">The use of these risk-and consequence analysing implements in connection with hazardous plants in Hungary is the main topic of my course work.</w:t>
      </w:r>
      <w:r>
        <w:rPr>
          <w:color w:val="000000"/>
          <w:sz w:val="24"/>
          <w:szCs w:val="24"/>
        </w:rPr>
        <w:br/>
        <w:t xml:space="preserve">During my treatise I explore the procedure and the steps of the vulnerability-analysis, the definition of the safety documents, like external safety plan, internal safety plan, serious incident response plan, security analysis and safety report.</w:t>
      </w:r>
      <w:r>
        <w:rPr>
          <w:color w:val="000000"/>
          <w:sz w:val="24"/>
          <w:szCs w:val="24"/>
        </w:rPr>
        <w:br/>
        <w:t xml:space="preserve">I examine the definition of the hazard zones (the individual risk of injury), the safety document’s technical requirements for admissibility (individual and social risk), as well as the physical and medical affects to define hazard zones used at internal and external defense planning or serious incident response plan.</w:t>
      </w:r>
      <w:r>
        <w:rPr>
          <w:color w:val="000000"/>
          <w:sz w:val="24"/>
          <w:szCs w:val="24"/>
        </w:rPr>
        <w:br/>
        <w:t xml:space="preserve">I explore, which method we should use to compute the injury’s individual risk.</w:t>
      </w:r>
      <w:r>
        <w:rPr>
          <w:color w:val="000000"/>
          <w:sz w:val="24"/>
          <w:szCs w:val="24"/>
        </w:rPr>
        <w:br/>
        <w:t xml:space="preserve">After all, I analyse the softvers accepted by the authority, and the programmes used by National Directorate General for Disaster Management’s industrial safety authorities, and I describe in detail the use and the operation of these programmes, and I summerize the application of them.</w:t>
      </w:r>
      <w:r>
        <w:rPr>
          <w:color w:val="000000"/>
          <w:sz w:val="24"/>
          <w:szCs w:val="24"/>
        </w:rPr>
        <w:br/>
        <w:t xml:space="preserve">Due to this I have the chance to present a complex and collective picture of the softvers accepted and used by the authorities.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139682">
    <w:multiLevelType w:val="hybridMultilevel"/>
    <w:lvl w:ilvl="0" w:tplc="786906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139682">
    <w:abstractNumId w:val="161396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05589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