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DROPPA DÓRA</w:t>
            </w:r>
          </w:p>
          <w:p w:rsidR="00C275A3" w:rsidRDefault="00A96AEC" w:rsidP="00C275A3">
            <w:pPr>
              <w:pStyle w:val="Hallgatokepzes"/>
            </w:pPr>
            <w:r>
              <w:t>Számvitel</w:t>
            </w:r>
            <w:r>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Becsky-Nagy Patrícia</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Cash flow-kimutatások a hazai és nemzetközi előírások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Cash flow-kimutatás; 2000. évi C. törvény; IFRS; IAS 7</w:t>
      </w:r>
      <w:r>
        <w:t xml:space="preserve"/>
      </w:r>
    </w:p>
    <w:p>
      <w:pPr>
        <w:widowControl w:val="on"/>
        <w:pBdr/>
        <w:spacing w:before="240" w:after="240" w:line="240" w:lineRule="auto"/>
        <w:ind w:left="0" w:right="0"/>
        <w:jc w:val="left"/>
      </w:pPr>
      <w:r>
        <w:rPr>
          <w:color w:val="000000"/>
          <w:sz w:val="24"/>
          <w:szCs w:val="24"/>
        </w:rPr>
        <w:t xml:space="preserve">Az egyes országok nemzeti szintű számviteli szabályai között számos eltérés mutatkozik. Ennek következtében az eltérő nemzetiségű vállalkozások pénzügyi kimutatásai egyáltalán nem vagy nehezen hasonlíthatók össze. Ez az oka annak, hogy világszerte egyre nagyobb az igény egy egységesen elfogadott szabályozási rendszer kialakítására és bevezetésére.</w:t>
      </w:r>
      <w:r>
        <w:rPr>
          <w:color w:val="000000"/>
          <w:sz w:val="24"/>
          <w:szCs w:val="24"/>
        </w:rPr>
        <w:br/>
        <w:t xml:space="preserve">Dolgozatomban a cash flow-kimutatások összeállításának, szerkezetének és tartalmának bemutatásával foglalkozom. Mindezt egy összehasonlítás keretein belül teszem, kitérve arra, hogy milyen előírásokat tartalmaz erre vonatkozólag a 2000. évi C. törvény, illetve a 7. számú Nemzetközi Számviteli Standard.</w:t>
      </w:r>
      <w:r>
        <w:rPr>
          <w:color w:val="000000"/>
          <w:sz w:val="24"/>
          <w:szCs w:val="24"/>
        </w:rPr>
        <w:br/>
        <w:t xml:space="preserve">Alapvető célkitűzésem, hogy az elméleti háttéranyag feldolgozása mellett egy vállalati példán keresztül is szemléltessem a fennálló különbségeket és hasonlóságokat a két szabályozó rendszer között. Ezáltal érzékeltetve az IFRS-ek térhódításának szükségességét, választ keresve arra, hogy az azok hazai bevezetésében és alkalmazásában érdekelt vállalkozásoknak a cash flow-kimutatások összeállítása és közzététele kapcsán milyen változásokkal kell szembenézniük, valamint bebizonyítva az ilyen típusú pénzügyi riportok elkészítésének és felhasználásának indokoltságát.</w:t>
      </w:r>
      <w:r>
        <w:rPr>
          <w:color w:val="000000"/>
          <w:sz w:val="24"/>
          <w:szCs w:val="24"/>
        </w:rPr>
        <w:br/>
        <w:t xml:space="preserve">Vállalati példám az Egis Gyógyszergyár Nyrt. magyar és nemzetközi előírások szerint összeállított egyedi cash flow-kimutatásainak összehasonlítására épül. A kimutatások kiemelt sorainak vizsgálata mellett, az egyes kategóriáik között külön-külön párhuzamot vonva értelmeztem azok tartalmát, szerkezeti felépítését, összegezve a feltárt egyezéseket és eltéréseket. Zárásként elkészítettem és elemeztem a vállalat pénzforrásainak- és felhasználásainak tevékenységi területek szerinti megoszlását szemléltető táblázatot.</w:t>
      </w:r>
      <w:r>
        <w:rPr>
          <w:color w:val="000000"/>
          <w:sz w:val="24"/>
          <w:szCs w:val="24"/>
        </w:rPr>
        <w:br/>
        <w:t xml:space="preserve">Következtetéseim között szerepel egy a két szabályozó rendszer összehasonlítását tartalmazó táblázat, ugyanis azt tapasztaltam, hogy nem lelhető fel olyan forrás, amely ily módon összegezné a köztük fennálló különbségeket és hasonlóságokat. Konklúzióként feltüntettem, hogy véleményem szerint hazánkban szükségessé és időszerűvé vált az IFRS-ek bevezetése, melyek közül meglátásom szerint a cash flow-kimutatások területén minimális változássokkal kell szembenézniük az érintett vállalkozásoknak, illetve, hogy mindenképpen nélkülözhetetlennek tartom a 2000. évi C. törvény 7. számú mellékletének kibővítését, módosítását.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74989">
    <w:multiLevelType w:val="hybridMultilevel"/>
    <w:lvl w:ilvl="0" w:tplc="70103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74989">
    <w:abstractNumId w:val="82474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299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