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DROPPA</w:t>
            </w:r>
          </w:p>
          <w:p w:rsidR="00C275A3" w:rsidRDefault="00A96AEC" w:rsidP="00C275A3">
            <w:pPr>
              <w:pStyle w:val="Hallgatokepzes"/>
            </w:pPr>
            <w:r>
              <w:t>Accountancy</w:t>
            </w:r>
            <w:r>
              <w:br/>
            </w:r>
            <w:r w:rsidR="00E77B23">
              <w:t>MA, 4. semester</w:t>
            </w:r>
          </w:p>
          <w:p w:rsidR="00C265CE" w:rsidRPr="009E5FF1" w:rsidRDefault="00E77B23" w:rsidP="00BA6BAF">
            <w:pPr>
              <w:pStyle w:val="Hallgatointezmeny-kar"/>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Mrs Patrícia Becsky-Nagy</w:t>
            </w:r>
          </w:p>
          <w:p w:rsidR="00DB4822" w:rsidRDefault="00DB4822" w:rsidP="00BA6BAF">
            <w:pPr>
              <w:pStyle w:val="Konzulensektitulus"/>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Cash flow-statements in the light of national and international regulations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Cash flow-statements; Act C of 2000; IFRS; IAS 7</w:t>
      </w:r>
      <w:r>
        <w:t xml:space="preserve"/>
      </w:r>
    </w:p>
    <w:p>
      <w:pPr>
        <w:widowControl w:val="on"/>
        <w:pBdr/>
        <w:spacing w:before="240" w:after="240" w:line="240" w:lineRule="auto"/>
        <w:ind w:left="0" w:right="0"/>
        <w:jc w:val="left"/>
      </w:pPr>
      <w:r>
        <w:rPr>
          <w:color w:val="000000"/>
          <w:sz w:val="24"/>
          <w:szCs w:val="24"/>
        </w:rPr>
        <w:t xml:space="preserve">Several differences appear between national accounting rules in separate countries. Therefore it is difficult or impossible to compare the financial statements of enterprises in the case of different nationalities. This is the reason for creating and introducing a commonly accepted regulatory system, which is a growing worldwide demand.</w:t>
      </w:r>
      <w:r>
        <w:rPr>
          <w:color w:val="000000"/>
          <w:sz w:val="24"/>
          <w:szCs w:val="24"/>
        </w:rPr>
        <w:br/>
        <w:t xml:space="preserve">In my dissertation I deal with introducing the compilation, structure and content of cash flow-statements. I do so within the framework of comparison by mentioning the regulations contained by the Act C of 2000 and the International Accounting Standard 7.</w:t>
      </w:r>
      <w:r>
        <w:rPr>
          <w:color w:val="000000"/>
          <w:sz w:val="24"/>
          <w:szCs w:val="24"/>
        </w:rPr>
        <w:br/>
        <w:t xml:space="preserve">My basic purpose is to illustrate the differences and similarities between the two regulation systems by using a corporate example together with processing theoretical material. Thereby suggesting the necessity of IFRS's penetration, seeking answers for the changes the companies – interested in the introduction and application – will have to face during the compilation and publication of cash flow-statements, and I prove the justification of the completion and utilization of this kind of financial reports.</w:t>
      </w:r>
      <w:r>
        <w:rPr>
          <w:color w:val="000000"/>
          <w:sz w:val="24"/>
          <w:szCs w:val="24"/>
        </w:rPr>
        <w:br/>
        <w:t xml:space="preserve">My corporate example is based on the comparison of Egis Pharmaceuticals PLC.'s individual cash flow-statements made by national and international regulations. I have interpreted the content and structure of each category by drawing paralells separately and summarizing the identified correspondences and differences besides examining the statements’ key lines. In the last part of my dissertation I have prepared and analyzed a chart illustrating the company's financial resources and utilization distributed by activity areas.</w:t>
      </w:r>
      <w:r>
        <w:rPr>
          <w:color w:val="000000"/>
          <w:sz w:val="24"/>
          <w:szCs w:val="24"/>
        </w:rPr>
        <w:br/>
        <w:t xml:space="preserve">Among my final conclusions a chart is presented containing the comparison of the two regulation systems, because I have experienced that there is not such a source, which could summarize the differences and similarities between them. As a conclusion I have indicated my opinion about the necessity and topicality of the IFRS in Hungary, in which certain enterprises will have to face up to minimal changes in the areas of cash flow-statements, but I think the extension and amendment of Schedule No. 7 Act C of 2000 is essential.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759028">
    <w:multiLevelType w:val="hybridMultilevel"/>
    <w:lvl w:ilvl="0" w:tplc="558712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759028">
    <w:abstractNumId w:val="107590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3181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